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997" w:rsidRPr="00F07A7F" w:rsidRDefault="00D47997" w:rsidP="004F26BC">
      <w:pPr>
        <w:ind w:left="1843" w:right="1983"/>
        <w:jc w:val="both"/>
        <w:rPr>
          <w:rFonts w:ascii="Tahoma" w:hAnsi="Tahoma" w:cs="Tahoma"/>
          <w:i/>
          <w:sz w:val="20"/>
          <w:szCs w:val="20"/>
        </w:rPr>
      </w:pPr>
      <w:r w:rsidRPr="00F07A7F">
        <w:rPr>
          <w:rFonts w:ascii="Tahoma" w:hAnsi="Tahoma" w:cs="Tahoma"/>
          <w:b/>
          <w:i/>
          <w:sz w:val="20"/>
          <w:szCs w:val="20"/>
        </w:rPr>
        <w:t>Sumilla:</w:t>
      </w:r>
      <w:r w:rsidRPr="00F07A7F">
        <w:rPr>
          <w:rFonts w:ascii="Tahoma" w:hAnsi="Tahoma" w:cs="Tahoma"/>
          <w:i/>
          <w:sz w:val="20"/>
          <w:szCs w:val="20"/>
        </w:rPr>
        <w:t xml:space="preserve"> “</w:t>
      </w:r>
      <w:r w:rsidR="004F26BC" w:rsidRPr="00F07A7F">
        <w:rPr>
          <w:rFonts w:ascii="Tahoma" w:hAnsi="Tahoma" w:cs="Tahoma"/>
          <w:i/>
          <w:sz w:val="20"/>
          <w:szCs w:val="20"/>
        </w:rPr>
        <w:t>Es pasible de sanción el contratista que incumple injustificadamente la orden de compra, pese a haber sido requerido previamente para que ejecute las prestaciones a su cargo</w:t>
      </w:r>
      <w:r w:rsidRPr="00F07A7F">
        <w:rPr>
          <w:rFonts w:ascii="Tahoma" w:hAnsi="Tahoma" w:cs="Tahoma"/>
          <w:i/>
          <w:sz w:val="20"/>
          <w:szCs w:val="20"/>
        </w:rPr>
        <w:t>”</w:t>
      </w:r>
    </w:p>
    <w:p w:rsidR="00D47997" w:rsidRPr="00F07A7F" w:rsidRDefault="00D47997" w:rsidP="00D47997">
      <w:pPr>
        <w:pStyle w:val="Textoindependiente3"/>
        <w:spacing w:after="0"/>
        <w:rPr>
          <w:rFonts w:ascii="Tahoma" w:hAnsi="Tahoma" w:cs="Tahoma"/>
          <w:i/>
          <w:sz w:val="20"/>
          <w:szCs w:val="20"/>
          <w:lang w:val="es-ES"/>
        </w:rPr>
      </w:pPr>
    </w:p>
    <w:p w:rsidR="00D47997" w:rsidRPr="00F07A7F" w:rsidRDefault="00D47997" w:rsidP="00D47997">
      <w:pPr>
        <w:pStyle w:val="Textoindependiente3"/>
        <w:spacing w:after="0"/>
        <w:ind w:left="5387"/>
        <w:jc w:val="both"/>
        <w:rPr>
          <w:rFonts w:ascii="Tahoma" w:hAnsi="Tahoma" w:cs="Tahoma"/>
          <w:b/>
          <w:sz w:val="20"/>
          <w:szCs w:val="20"/>
        </w:rPr>
      </w:pPr>
      <w:r w:rsidRPr="00F07A7F">
        <w:rPr>
          <w:rFonts w:ascii="Tahoma" w:hAnsi="Tahoma" w:cs="Tahoma"/>
          <w:b/>
          <w:sz w:val="20"/>
          <w:szCs w:val="20"/>
        </w:rPr>
        <w:t>Lima,</w:t>
      </w:r>
      <w:r w:rsidR="009F2ECA">
        <w:rPr>
          <w:rFonts w:ascii="Tahoma" w:hAnsi="Tahoma" w:cs="Tahoma"/>
          <w:b/>
          <w:sz w:val="20"/>
          <w:szCs w:val="20"/>
        </w:rPr>
        <w:t xml:space="preserve"> 09 de Febrero de 2011</w:t>
      </w:r>
    </w:p>
    <w:p w:rsidR="00D47997" w:rsidRPr="00F07A7F" w:rsidRDefault="00D47997" w:rsidP="00D47997">
      <w:pPr>
        <w:pStyle w:val="Textoindependiente3"/>
        <w:spacing w:after="0"/>
        <w:ind w:left="5387"/>
        <w:jc w:val="both"/>
        <w:rPr>
          <w:rFonts w:ascii="Tahoma" w:hAnsi="Tahoma" w:cs="Tahoma"/>
          <w:b/>
          <w:sz w:val="20"/>
          <w:szCs w:val="20"/>
        </w:rPr>
      </w:pPr>
    </w:p>
    <w:p w:rsidR="00D47997" w:rsidRPr="00F07A7F" w:rsidRDefault="00D47997" w:rsidP="00D47997">
      <w:pPr>
        <w:ind w:firstLine="567"/>
        <w:contextualSpacing/>
        <w:jc w:val="both"/>
        <w:rPr>
          <w:rFonts w:ascii="Tahoma" w:hAnsi="Tahoma" w:cs="Tahoma"/>
          <w:sz w:val="20"/>
          <w:szCs w:val="20"/>
        </w:rPr>
      </w:pPr>
      <w:r w:rsidRPr="00F07A7F">
        <w:rPr>
          <w:rFonts w:ascii="Tahoma" w:hAnsi="Tahoma" w:cs="Tahoma"/>
          <w:b/>
          <w:sz w:val="20"/>
          <w:szCs w:val="20"/>
        </w:rPr>
        <w:t xml:space="preserve">Visto </w:t>
      </w:r>
      <w:r w:rsidRPr="00F07A7F">
        <w:rPr>
          <w:rFonts w:ascii="Tahoma" w:hAnsi="Tahoma" w:cs="Tahoma"/>
          <w:sz w:val="20"/>
          <w:szCs w:val="20"/>
        </w:rPr>
        <w:t xml:space="preserve">en sesión de fecha </w:t>
      </w:r>
      <w:r w:rsidR="00D63EAE">
        <w:rPr>
          <w:rFonts w:ascii="Tahoma" w:hAnsi="Tahoma" w:cs="Tahoma"/>
          <w:sz w:val="20"/>
          <w:szCs w:val="20"/>
        </w:rPr>
        <w:t>9</w:t>
      </w:r>
      <w:r w:rsidRPr="00F07A7F">
        <w:rPr>
          <w:rFonts w:ascii="Tahoma" w:hAnsi="Tahoma" w:cs="Tahoma"/>
          <w:sz w:val="20"/>
          <w:szCs w:val="20"/>
        </w:rPr>
        <w:t xml:space="preserve"> de </w:t>
      </w:r>
      <w:r w:rsidR="00D63EAE">
        <w:rPr>
          <w:rFonts w:ascii="Tahoma" w:hAnsi="Tahoma" w:cs="Tahoma"/>
          <w:sz w:val="20"/>
          <w:szCs w:val="20"/>
        </w:rPr>
        <w:t>febrero</w:t>
      </w:r>
      <w:r w:rsidR="004F26BC" w:rsidRPr="00F07A7F">
        <w:rPr>
          <w:rFonts w:ascii="Tahoma" w:hAnsi="Tahoma" w:cs="Tahoma"/>
          <w:sz w:val="20"/>
          <w:szCs w:val="20"/>
        </w:rPr>
        <w:t xml:space="preserve"> de 2011</w:t>
      </w:r>
      <w:r w:rsidRPr="00F07A7F">
        <w:rPr>
          <w:rFonts w:ascii="Tahoma" w:hAnsi="Tahoma" w:cs="Tahoma"/>
          <w:sz w:val="20"/>
          <w:szCs w:val="20"/>
        </w:rPr>
        <w:t xml:space="preserve"> la Primera Sala del Tribunal de Contrataciones del Estado el Expediente N° </w:t>
      </w:r>
      <w:r w:rsidR="004F26BC" w:rsidRPr="00F07A7F">
        <w:rPr>
          <w:rFonts w:ascii="Tahoma" w:hAnsi="Tahoma" w:cs="Tahoma"/>
          <w:sz w:val="20"/>
          <w:szCs w:val="20"/>
        </w:rPr>
        <w:t>1134</w:t>
      </w:r>
      <w:r w:rsidRPr="00F07A7F">
        <w:rPr>
          <w:rFonts w:ascii="Tahoma" w:hAnsi="Tahoma" w:cs="Tahoma"/>
          <w:sz w:val="20"/>
          <w:szCs w:val="20"/>
        </w:rPr>
        <w:t xml:space="preserve">-2010-TC; sobre el procedimiento administrativo sancionador iniciado contra </w:t>
      </w:r>
      <w:r w:rsidR="0004428E" w:rsidRPr="00F07A7F">
        <w:rPr>
          <w:rFonts w:ascii="Tahoma" w:hAnsi="Tahoma" w:cs="Tahoma"/>
          <w:sz w:val="20"/>
          <w:szCs w:val="20"/>
        </w:rPr>
        <w:t>la</w:t>
      </w:r>
      <w:r w:rsidR="004F26BC" w:rsidRPr="00F07A7F">
        <w:rPr>
          <w:rFonts w:ascii="Tahoma" w:hAnsi="Tahoma" w:cs="Tahoma"/>
          <w:sz w:val="20"/>
          <w:szCs w:val="20"/>
        </w:rPr>
        <w:t xml:space="preserve"> contratista</w:t>
      </w:r>
      <w:r w:rsidRPr="00F07A7F">
        <w:rPr>
          <w:rFonts w:ascii="Tahoma" w:hAnsi="Tahoma" w:cs="Tahoma"/>
          <w:sz w:val="20"/>
          <w:szCs w:val="20"/>
        </w:rPr>
        <w:t xml:space="preserve"> </w:t>
      </w:r>
      <w:r w:rsidR="004F26BC" w:rsidRPr="00F07A7F">
        <w:rPr>
          <w:rFonts w:ascii="Tahoma" w:hAnsi="Tahoma" w:cs="Tahoma"/>
          <w:b/>
          <w:sz w:val="20"/>
          <w:szCs w:val="20"/>
        </w:rPr>
        <w:t>WALLACE IMPORT S.A.C.</w:t>
      </w:r>
      <w:r w:rsidRPr="00F07A7F">
        <w:rPr>
          <w:rFonts w:ascii="Tahoma" w:hAnsi="Tahoma" w:cs="Tahoma"/>
          <w:sz w:val="20"/>
          <w:szCs w:val="20"/>
        </w:rPr>
        <w:t xml:space="preserve">, </w:t>
      </w:r>
      <w:r w:rsidRPr="00F07A7F">
        <w:rPr>
          <w:rFonts w:ascii="Tahoma" w:hAnsi="Tahoma" w:cs="Tahoma"/>
          <w:color w:val="000000" w:themeColor="text1"/>
          <w:sz w:val="20"/>
          <w:szCs w:val="20"/>
          <w:lang w:val="es-MX"/>
        </w:rPr>
        <w:t xml:space="preserve">por </w:t>
      </w:r>
      <w:r w:rsidR="004F26BC" w:rsidRPr="00F07A7F">
        <w:rPr>
          <w:rFonts w:ascii="Tahoma" w:hAnsi="Tahoma" w:cs="Tahoma"/>
          <w:color w:val="000000" w:themeColor="text1"/>
          <w:sz w:val="20"/>
          <w:szCs w:val="20"/>
          <w:lang w:val="es-MX"/>
        </w:rPr>
        <w:t xml:space="preserve">haber dado lugar a la resolución de la </w:t>
      </w:r>
      <w:r w:rsidR="004F26BC" w:rsidRPr="00F07A7F">
        <w:rPr>
          <w:rFonts w:ascii="Tahoma" w:hAnsi="Tahoma" w:cs="Tahoma"/>
          <w:sz w:val="20"/>
          <w:szCs w:val="20"/>
        </w:rPr>
        <w:t xml:space="preserve">orden de compra Nº 038-0059 </w:t>
      </w:r>
      <w:r w:rsidR="0004428E" w:rsidRPr="00F07A7F">
        <w:rPr>
          <w:rFonts w:ascii="Tahoma" w:hAnsi="Tahoma" w:cs="Tahoma"/>
          <w:sz w:val="20"/>
          <w:szCs w:val="20"/>
        </w:rPr>
        <w:t>d</w:t>
      </w:r>
      <w:r w:rsidR="004F26BC" w:rsidRPr="00F07A7F">
        <w:rPr>
          <w:rFonts w:ascii="Tahoma" w:hAnsi="Tahoma" w:cs="Tahoma"/>
          <w:sz w:val="20"/>
          <w:szCs w:val="20"/>
        </w:rPr>
        <w:t>el 26 de mayo de 2010</w:t>
      </w:r>
      <w:r w:rsidRPr="00F07A7F">
        <w:rPr>
          <w:rFonts w:ascii="Tahoma" w:hAnsi="Tahoma" w:cs="Tahoma"/>
          <w:color w:val="000000" w:themeColor="text1"/>
          <w:sz w:val="20"/>
          <w:szCs w:val="20"/>
          <w:lang w:val="es-MX"/>
        </w:rPr>
        <w:t xml:space="preserve"> en la </w:t>
      </w:r>
      <w:r w:rsidR="004F26BC" w:rsidRPr="00F07A7F">
        <w:rPr>
          <w:rFonts w:ascii="Tahoma" w:hAnsi="Tahoma" w:cs="Tahoma"/>
          <w:sz w:val="20"/>
          <w:szCs w:val="20"/>
        </w:rPr>
        <w:t>Menor Cuantía Nº 008-2010-FAP/SEBAT, para “adquisición de electrobomba con instalación a todo costo”</w:t>
      </w:r>
    </w:p>
    <w:p w:rsidR="00D47997" w:rsidRPr="00F07A7F" w:rsidRDefault="00D47997" w:rsidP="00D47997">
      <w:pPr>
        <w:ind w:firstLine="567"/>
        <w:contextualSpacing/>
        <w:jc w:val="both"/>
        <w:rPr>
          <w:rFonts w:ascii="Tahoma" w:hAnsi="Tahoma" w:cs="Tahoma"/>
          <w:b/>
          <w:sz w:val="20"/>
          <w:szCs w:val="20"/>
          <w:lang w:val="es-ES_tradnl"/>
        </w:rPr>
      </w:pPr>
    </w:p>
    <w:p w:rsidR="00D47997" w:rsidRPr="00F07A7F" w:rsidRDefault="00D47997" w:rsidP="00D47997">
      <w:pPr>
        <w:pStyle w:val="Prrafodelista"/>
        <w:numPr>
          <w:ilvl w:val="0"/>
          <w:numId w:val="1"/>
        </w:numPr>
        <w:ind w:left="567" w:hanging="425"/>
        <w:rPr>
          <w:rFonts w:ascii="Tahoma" w:hAnsi="Tahoma" w:cs="Tahoma"/>
          <w:b/>
          <w:sz w:val="20"/>
        </w:rPr>
      </w:pPr>
      <w:r w:rsidRPr="00F07A7F">
        <w:rPr>
          <w:rFonts w:ascii="Tahoma" w:hAnsi="Tahoma" w:cs="Tahoma"/>
          <w:b/>
          <w:sz w:val="20"/>
        </w:rPr>
        <w:t>ANTECEDENTES:</w:t>
      </w:r>
    </w:p>
    <w:p w:rsidR="00D47997" w:rsidRPr="00F07A7F" w:rsidRDefault="00D47997" w:rsidP="00D47997">
      <w:pPr>
        <w:jc w:val="both"/>
        <w:rPr>
          <w:rFonts w:ascii="Tahoma" w:hAnsi="Tahoma" w:cs="Tahoma"/>
          <w:b/>
          <w:sz w:val="20"/>
          <w:szCs w:val="20"/>
          <w:lang w:eastAsia="es-PE"/>
        </w:rPr>
      </w:pPr>
    </w:p>
    <w:p w:rsidR="004F26BC" w:rsidRPr="00F07A7F" w:rsidRDefault="004F26BC" w:rsidP="004F26BC">
      <w:pPr>
        <w:pStyle w:val="p1"/>
        <w:numPr>
          <w:ilvl w:val="0"/>
          <w:numId w:val="2"/>
        </w:numPr>
        <w:tabs>
          <w:tab w:val="clear" w:pos="340"/>
          <w:tab w:val="num" w:pos="567"/>
          <w:tab w:val="center" w:pos="5832"/>
          <w:tab w:val="right" w:pos="8789"/>
        </w:tabs>
        <w:ind w:left="567" w:hanging="567"/>
        <w:rPr>
          <w:rFonts w:ascii="Tahoma" w:hAnsi="Tahoma" w:cs="Tahoma"/>
          <w:sz w:val="20"/>
        </w:rPr>
      </w:pPr>
      <w:r w:rsidRPr="00F07A7F">
        <w:rPr>
          <w:rFonts w:ascii="Tahoma" w:hAnsi="Tahoma" w:cs="Tahoma"/>
          <w:sz w:val="20"/>
        </w:rPr>
        <w:t>El 13 de mayo de 2010, la Fuerza Aérea del Perú, en adelante, la Entidad, convocó a la Menor Cuantía Nº 008-2010-FAP/SEBAT,</w:t>
      </w:r>
      <w:r w:rsidR="0004428E" w:rsidRPr="00F07A7F">
        <w:rPr>
          <w:rFonts w:ascii="Tahoma" w:hAnsi="Tahoma" w:cs="Tahoma"/>
          <w:sz w:val="20"/>
        </w:rPr>
        <w:t xml:space="preserve"> para </w:t>
      </w:r>
      <w:r w:rsidRPr="00F07A7F">
        <w:rPr>
          <w:rFonts w:ascii="Tahoma" w:hAnsi="Tahoma" w:cs="Tahoma"/>
          <w:sz w:val="20"/>
        </w:rPr>
        <w:t>“adquisición de electrobomba con instalación a todo costo”, por un valor referencial ascendente a S/. 27,950.00 (Veintisiete mil novecientos cincuenta y 00/100 Nuevos Soles), incluido los impuestos de Ley.</w:t>
      </w:r>
    </w:p>
    <w:p w:rsidR="004F26BC" w:rsidRPr="00F07A7F" w:rsidRDefault="004F26BC" w:rsidP="004F26BC">
      <w:pPr>
        <w:tabs>
          <w:tab w:val="num" w:pos="1035"/>
        </w:tabs>
        <w:ind w:left="540"/>
        <w:jc w:val="both"/>
        <w:rPr>
          <w:rFonts w:ascii="Tahoma" w:hAnsi="Tahoma" w:cs="Tahoma"/>
          <w:sz w:val="20"/>
          <w:szCs w:val="20"/>
        </w:rPr>
      </w:pPr>
    </w:p>
    <w:p w:rsidR="004F26BC" w:rsidRPr="00F07A7F" w:rsidRDefault="004F26BC" w:rsidP="004F26BC">
      <w:pPr>
        <w:pStyle w:val="Sangradetextonormal"/>
        <w:numPr>
          <w:ilvl w:val="0"/>
          <w:numId w:val="2"/>
        </w:numPr>
        <w:tabs>
          <w:tab w:val="clear" w:pos="340"/>
          <w:tab w:val="num" w:pos="567"/>
          <w:tab w:val="left" w:pos="1985"/>
        </w:tabs>
        <w:spacing w:after="0"/>
        <w:ind w:left="567" w:hanging="567"/>
        <w:jc w:val="both"/>
        <w:rPr>
          <w:rFonts w:ascii="Tahoma" w:hAnsi="Tahoma" w:cs="Tahoma"/>
          <w:sz w:val="20"/>
          <w:szCs w:val="20"/>
        </w:rPr>
      </w:pPr>
      <w:r w:rsidRPr="00F07A7F">
        <w:rPr>
          <w:rFonts w:ascii="Tahoma" w:hAnsi="Tahoma" w:cs="Tahoma"/>
          <w:sz w:val="20"/>
          <w:szCs w:val="20"/>
        </w:rPr>
        <w:t>El 21 de mayo de 2010, se llevó a cabo el acto de otorgamiento de la buena pro, resultando ganadora la empresa WALLACE IMPORT S.A.C., en adelante, el Contratista.</w:t>
      </w:r>
    </w:p>
    <w:p w:rsidR="004F26BC" w:rsidRPr="00F07A7F" w:rsidRDefault="004F26BC" w:rsidP="004F26BC">
      <w:pPr>
        <w:tabs>
          <w:tab w:val="num" w:pos="1035"/>
        </w:tabs>
        <w:ind w:left="540"/>
        <w:jc w:val="both"/>
        <w:rPr>
          <w:rFonts w:ascii="Tahoma" w:hAnsi="Tahoma" w:cs="Tahoma"/>
          <w:sz w:val="20"/>
          <w:szCs w:val="20"/>
        </w:rPr>
      </w:pPr>
    </w:p>
    <w:p w:rsidR="004F26BC" w:rsidRPr="00F07A7F" w:rsidRDefault="004F26BC" w:rsidP="004F26BC">
      <w:pPr>
        <w:numPr>
          <w:ilvl w:val="0"/>
          <w:numId w:val="2"/>
        </w:numPr>
        <w:tabs>
          <w:tab w:val="clear" w:pos="340"/>
          <w:tab w:val="num" w:pos="540"/>
          <w:tab w:val="num" w:pos="1035"/>
        </w:tabs>
        <w:ind w:left="540" w:hanging="540"/>
        <w:jc w:val="both"/>
        <w:rPr>
          <w:rFonts w:ascii="Tahoma" w:hAnsi="Tahoma" w:cs="Tahoma"/>
          <w:sz w:val="20"/>
          <w:szCs w:val="20"/>
        </w:rPr>
      </w:pPr>
      <w:r w:rsidRPr="00F07A7F">
        <w:rPr>
          <w:rFonts w:ascii="Tahoma" w:hAnsi="Tahoma" w:cs="Tahoma"/>
          <w:sz w:val="20"/>
          <w:szCs w:val="20"/>
        </w:rPr>
        <w:t xml:space="preserve">Mediante Carta s/n recibido por Mesa de Partes del Tribunal de Contrataciones del Estado, en adelante, el Tribunal, el 25 de agosto de 2010, la Entidad puso en conocimiento que la Contratista habría incurrido en la causal de infracción tipificada en el literal b) del numeral 1 del artículo 237 del Reglamento de la Ley de Contrataciones del Estado, toda vez dio lugar a la resolución del contrato respectivo. </w:t>
      </w:r>
    </w:p>
    <w:p w:rsidR="004F26BC" w:rsidRPr="00F07A7F" w:rsidRDefault="004F26BC" w:rsidP="004F26BC">
      <w:pPr>
        <w:tabs>
          <w:tab w:val="num" w:pos="1035"/>
        </w:tabs>
        <w:jc w:val="both"/>
        <w:rPr>
          <w:rFonts w:ascii="Tahoma" w:hAnsi="Tahoma" w:cs="Tahoma"/>
          <w:sz w:val="20"/>
          <w:szCs w:val="20"/>
        </w:rPr>
      </w:pPr>
    </w:p>
    <w:p w:rsidR="004F26BC" w:rsidRPr="00F07A7F" w:rsidRDefault="004F26BC" w:rsidP="004F26BC">
      <w:pPr>
        <w:numPr>
          <w:ilvl w:val="0"/>
          <w:numId w:val="2"/>
        </w:numPr>
        <w:tabs>
          <w:tab w:val="clear" w:pos="340"/>
          <w:tab w:val="num" w:pos="540"/>
          <w:tab w:val="num" w:pos="1035"/>
        </w:tabs>
        <w:ind w:left="540" w:hanging="540"/>
        <w:jc w:val="both"/>
        <w:rPr>
          <w:rFonts w:ascii="Tahoma" w:hAnsi="Tahoma" w:cs="Tahoma"/>
          <w:sz w:val="20"/>
          <w:szCs w:val="20"/>
        </w:rPr>
      </w:pPr>
      <w:r w:rsidRPr="00F07A7F">
        <w:rPr>
          <w:rFonts w:ascii="Tahoma" w:hAnsi="Tahoma" w:cs="Tahoma"/>
          <w:sz w:val="20"/>
          <w:szCs w:val="20"/>
        </w:rPr>
        <w:t>Al respecto, la Entidad señala que el 24 de mayo de 2010, el Jefe del Departamento de Adquisiciones del Servicio de Abastecimiento Técnico comunicó al Contratista el consentimiento de la Buena Pro del proceso referido través de la Carta NC-70-SADA-ML-N; como consecuencia de ello, se giró la orden de compra Nº 038-0059 el 26 de mayo de 2010, siendo recibida por la Contratista el 01 de junio de 2010.</w:t>
      </w:r>
    </w:p>
    <w:p w:rsidR="004F26BC" w:rsidRPr="00F07A7F" w:rsidRDefault="004F26BC" w:rsidP="004F26BC">
      <w:pPr>
        <w:pStyle w:val="Prrafodelista"/>
        <w:rPr>
          <w:rFonts w:ascii="Tahoma" w:hAnsi="Tahoma" w:cs="Tahoma"/>
          <w:sz w:val="20"/>
        </w:rPr>
      </w:pPr>
    </w:p>
    <w:p w:rsidR="004F26BC" w:rsidRPr="00F07A7F" w:rsidRDefault="004F26BC" w:rsidP="004F26BC">
      <w:pPr>
        <w:numPr>
          <w:ilvl w:val="0"/>
          <w:numId w:val="2"/>
        </w:numPr>
        <w:tabs>
          <w:tab w:val="clear" w:pos="340"/>
          <w:tab w:val="num" w:pos="540"/>
          <w:tab w:val="num" w:pos="1035"/>
        </w:tabs>
        <w:ind w:left="540" w:hanging="540"/>
        <w:jc w:val="both"/>
        <w:rPr>
          <w:rFonts w:ascii="Tahoma" w:hAnsi="Tahoma" w:cs="Tahoma"/>
          <w:sz w:val="20"/>
          <w:szCs w:val="20"/>
        </w:rPr>
      </w:pPr>
      <w:r w:rsidRPr="00F07A7F">
        <w:rPr>
          <w:rFonts w:ascii="Tahoma" w:hAnsi="Tahoma" w:cs="Tahoma"/>
          <w:sz w:val="20"/>
          <w:szCs w:val="20"/>
        </w:rPr>
        <w:t xml:space="preserve">Con carta Nº 001-2010-CG-WALLACE del 08 de junio de 2010 la Contratista comunica a la Entidad la imposibilidad de cumplir con la prestación. </w:t>
      </w:r>
    </w:p>
    <w:p w:rsidR="004F26BC" w:rsidRPr="00F07A7F" w:rsidRDefault="004F26BC" w:rsidP="004F26BC">
      <w:pPr>
        <w:tabs>
          <w:tab w:val="num" w:pos="1035"/>
        </w:tabs>
        <w:jc w:val="both"/>
        <w:rPr>
          <w:rFonts w:ascii="Tahoma" w:hAnsi="Tahoma" w:cs="Tahoma"/>
          <w:sz w:val="20"/>
          <w:szCs w:val="20"/>
        </w:rPr>
      </w:pPr>
    </w:p>
    <w:p w:rsidR="004F26BC" w:rsidRPr="00F07A7F" w:rsidRDefault="004F26BC" w:rsidP="004F26BC">
      <w:pPr>
        <w:numPr>
          <w:ilvl w:val="0"/>
          <w:numId w:val="2"/>
        </w:numPr>
        <w:tabs>
          <w:tab w:val="clear" w:pos="340"/>
          <w:tab w:val="num" w:pos="540"/>
          <w:tab w:val="num" w:pos="1035"/>
        </w:tabs>
        <w:ind w:left="540" w:hanging="540"/>
        <w:jc w:val="both"/>
        <w:rPr>
          <w:rFonts w:ascii="Tahoma" w:hAnsi="Tahoma" w:cs="Tahoma"/>
          <w:sz w:val="20"/>
          <w:szCs w:val="20"/>
        </w:rPr>
      </w:pPr>
      <w:r w:rsidRPr="00F07A7F">
        <w:rPr>
          <w:rFonts w:ascii="Tahoma" w:hAnsi="Tahoma" w:cs="Tahoma"/>
          <w:sz w:val="20"/>
          <w:szCs w:val="20"/>
        </w:rPr>
        <w:t>Mediante Carta Notarial NC-70-SADA-ML-Nº 0137 del 21 de junio de 2010 se requirió a la Contratista para que en un plazo de cinco (05) días cumpla con la prestación, bajo apercibimiento de resolver la orden de compra.</w:t>
      </w:r>
    </w:p>
    <w:p w:rsidR="004F26BC" w:rsidRPr="00F07A7F" w:rsidRDefault="004F26BC" w:rsidP="004F26BC">
      <w:pPr>
        <w:tabs>
          <w:tab w:val="num" w:pos="1035"/>
        </w:tabs>
        <w:ind w:left="540"/>
        <w:jc w:val="both"/>
        <w:rPr>
          <w:rFonts w:ascii="Tahoma" w:hAnsi="Tahoma" w:cs="Tahoma"/>
          <w:sz w:val="20"/>
          <w:szCs w:val="20"/>
        </w:rPr>
      </w:pPr>
    </w:p>
    <w:p w:rsidR="004F26BC" w:rsidRPr="00F07A7F" w:rsidRDefault="004F26BC" w:rsidP="004F26BC">
      <w:pPr>
        <w:numPr>
          <w:ilvl w:val="0"/>
          <w:numId w:val="2"/>
        </w:numPr>
        <w:tabs>
          <w:tab w:val="clear" w:pos="340"/>
          <w:tab w:val="num" w:pos="540"/>
          <w:tab w:val="num" w:pos="1035"/>
        </w:tabs>
        <w:ind w:left="540" w:hanging="540"/>
        <w:jc w:val="both"/>
        <w:rPr>
          <w:rFonts w:ascii="Tahoma" w:hAnsi="Tahoma" w:cs="Tahoma"/>
          <w:sz w:val="20"/>
          <w:szCs w:val="20"/>
        </w:rPr>
      </w:pPr>
      <w:r w:rsidRPr="00F07A7F">
        <w:rPr>
          <w:rFonts w:ascii="Tahoma" w:hAnsi="Tahoma" w:cs="Tahoma"/>
          <w:sz w:val="20"/>
          <w:szCs w:val="20"/>
        </w:rPr>
        <w:t>Mediante Carta Notarial NC-70-SADA-ML-Nº 0152 del 03 de julio de 2010 se comunicó a la Contratista que al no haberse cumplido con el internamiento del bien adjudicado, pese a haber sido requerido para ello, se ha determinado la resolución de la Orden de Compra Nº 038-0059 a través de la Resolución Jefatural Nº 122-SEBAT/FAP, sin perjuicio de las sanciones administrativas correspondientes.</w:t>
      </w:r>
    </w:p>
    <w:p w:rsidR="004F26BC" w:rsidRPr="00F07A7F" w:rsidRDefault="004F26BC" w:rsidP="004F26BC">
      <w:pPr>
        <w:tabs>
          <w:tab w:val="num" w:pos="1035"/>
        </w:tabs>
        <w:jc w:val="both"/>
        <w:rPr>
          <w:rFonts w:ascii="Tahoma" w:hAnsi="Tahoma" w:cs="Tahoma"/>
          <w:sz w:val="20"/>
          <w:szCs w:val="20"/>
        </w:rPr>
      </w:pPr>
    </w:p>
    <w:p w:rsidR="004F26BC" w:rsidRPr="00F07A7F" w:rsidRDefault="004F26BC" w:rsidP="004F26BC">
      <w:pPr>
        <w:numPr>
          <w:ilvl w:val="0"/>
          <w:numId w:val="2"/>
        </w:numPr>
        <w:tabs>
          <w:tab w:val="clear" w:pos="340"/>
          <w:tab w:val="num" w:pos="540"/>
          <w:tab w:val="num" w:pos="1035"/>
        </w:tabs>
        <w:ind w:left="540" w:hanging="540"/>
        <w:jc w:val="both"/>
        <w:rPr>
          <w:rFonts w:ascii="Tahoma" w:hAnsi="Tahoma" w:cs="Tahoma"/>
          <w:sz w:val="20"/>
          <w:szCs w:val="20"/>
          <w:lang w:eastAsia="es-PE"/>
        </w:rPr>
      </w:pPr>
      <w:r w:rsidRPr="00F07A7F">
        <w:rPr>
          <w:rFonts w:ascii="Tahoma" w:hAnsi="Tahoma" w:cs="Tahoma"/>
          <w:sz w:val="20"/>
          <w:szCs w:val="20"/>
        </w:rPr>
        <w:lastRenderedPageBreak/>
        <w:t>En ese sentido, mediante decreto de fecha 31 de agosto de 2010, se inició procedimiento administrativo sancionador a la Contratista, por su supuesta responsabilidad al haber dado lugar a la resolución del contrato (Orden de Compra Nº 038-0059) de fecha 26.05.2010 derivado de la Adjudicación de Menor Cuantía N º 008-2010-FAP/SEBAT, proceso convocado por la Fuerza Aérea del Perú para la adquisición de “electrobomba con instalación a todo costo”.</w:t>
      </w:r>
      <w:r w:rsidRPr="00F07A7F">
        <w:rPr>
          <w:rFonts w:ascii="Tahoma" w:hAnsi="Tahoma" w:cs="Tahoma"/>
          <w:sz w:val="20"/>
          <w:szCs w:val="20"/>
          <w:lang w:eastAsia="es-PE"/>
        </w:rPr>
        <w:t xml:space="preserve"> Conforme a ello, se otorgó al Contratista un plazo de diez (10) días hábiles para que cumpla con presentar sus descargos, bajo apercibimiento de resolver el procedimiento con la documentación obrante en el expediente.</w:t>
      </w:r>
    </w:p>
    <w:p w:rsidR="004F26BC" w:rsidRPr="00F07A7F" w:rsidRDefault="004F26BC" w:rsidP="004F26BC">
      <w:pPr>
        <w:pStyle w:val="Prrafodelista"/>
        <w:rPr>
          <w:rFonts w:ascii="Tahoma" w:hAnsi="Tahoma" w:cs="Tahoma"/>
          <w:sz w:val="20"/>
          <w:lang w:eastAsia="es-PE"/>
        </w:rPr>
      </w:pPr>
    </w:p>
    <w:p w:rsidR="004F26BC" w:rsidRPr="00F07A7F" w:rsidRDefault="004F26BC" w:rsidP="004F26BC">
      <w:pPr>
        <w:numPr>
          <w:ilvl w:val="0"/>
          <w:numId w:val="2"/>
        </w:numPr>
        <w:tabs>
          <w:tab w:val="clear" w:pos="340"/>
          <w:tab w:val="num" w:pos="540"/>
          <w:tab w:val="num" w:pos="1035"/>
        </w:tabs>
        <w:ind w:left="540" w:hanging="540"/>
        <w:jc w:val="both"/>
        <w:rPr>
          <w:rFonts w:ascii="Tahoma" w:hAnsi="Tahoma" w:cs="Tahoma"/>
          <w:sz w:val="20"/>
          <w:szCs w:val="20"/>
          <w:lang w:eastAsia="es-PE"/>
        </w:rPr>
      </w:pPr>
      <w:r w:rsidRPr="00F07A7F">
        <w:rPr>
          <w:rFonts w:ascii="Tahoma" w:hAnsi="Tahoma" w:cs="Tahoma"/>
          <w:sz w:val="20"/>
          <w:szCs w:val="20"/>
          <w:lang w:eastAsia="es-PE"/>
        </w:rPr>
        <w:t xml:space="preserve">Habiéndose vencido el plazo el 21.12.2010 para que la Contratista presente sus descargos y ante el incumplimiento, el 27 de diciembre mediante decreto se hizo efectivo el apercibimiento de resolver con la documentación obrante en autos y se remitió el expediente a la Primera Sala del Tribunal para que resuelva de conformidad con lo establecido en el numeral 2 del art 242 del Reglamento. </w:t>
      </w:r>
    </w:p>
    <w:p w:rsidR="00D47997" w:rsidRPr="00F07A7F" w:rsidRDefault="00D47997" w:rsidP="00D47997">
      <w:pPr>
        <w:contextualSpacing/>
        <w:jc w:val="both"/>
        <w:rPr>
          <w:rFonts w:ascii="Tahoma" w:hAnsi="Tahoma" w:cs="Tahoma"/>
          <w:sz w:val="20"/>
          <w:szCs w:val="20"/>
        </w:rPr>
      </w:pPr>
    </w:p>
    <w:p w:rsidR="00D47997" w:rsidRPr="00F07A7F" w:rsidRDefault="00D47997" w:rsidP="00D47997">
      <w:pPr>
        <w:pStyle w:val="Prrafodelista"/>
        <w:widowControl/>
        <w:numPr>
          <w:ilvl w:val="0"/>
          <w:numId w:val="3"/>
        </w:numPr>
        <w:suppressAutoHyphens w:val="0"/>
        <w:ind w:left="567" w:hanging="567"/>
        <w:jc w:val="both"/>
        <w:rPr>
          <w:rFonts w:ascii="Tahoma" w:hAnsi="Tahoma" w:cs="Tahoma"/>
          <w:b/>
          <w:shadow/>
          <w:sz w:val="20"/>
        </w:rPr>
      </w:pPr>
      <w:r w:rsidRPr="00F07A7F">
        <w:rPr>
          <w:rFonts w:ascii="Tahoma" w:hAnsi="Tahoma" w:cs="Tahoma"/>
          <w:b/>
          <w:sz w:val="20"/>
        </w:rPr>
        <w:t>FUNDAMENTACIÓN:</w:t>
      </w:r>
    </w:p>
    <w:p w:rsidR="00D47997" w:rsidRPr="00F07A7F" w:rsidRDefault="00D47997" w:rsidP="00D47997">
      <w:pPr>
        <w:pStyle w:val="Prrafodelista"/>
        <w:ind w:left="567"/>
        <w:jc w:val="both"/>
        <w:rPr>
          <w:rFonts w:ascii="Tahoma" w:hAnsi="Tahoma" w:cs="Tahoma"/>
          <w:b/>
          <w:shadow/>
          <w:sz w:val="20"/>
        </w:rPr>
      </w:pPr>
    </w:p>
    <w:p w:rsidR="004F26BC" w:rsidRPr="00F07A7F" w:rsidRDefault="004F26BC" w:rsidP="004F26BC">
      <w:pPr>
        <w:pStyle w:val="Textoindependiente"/>
        <w:widowControl w:val="0"/>
        <w:numPr>
          <w:ilvl w:val="0"/>
          <w:numId w:val="9"/>
        </w:numPr>
        <w:tabs>
          <w:tab w:val="left" w:pos="2410"/>
        </w:tabs>
        <w:suppressAutoHyphens/>
        <w:spacing w:after="0"/>
        <w:ind w:left="567" w:hanging="567"/>
        <w:jc w:val="both"/>
        <w:rPr>
          <w:rFonts w:ascii="Tahoma" w:hAnsi="Tahoma" w:cs="Tahoma"/>
          <w:sz w:val="20"/>
          <w:szCs w:val="20"/>
          <w:lang w:val="es-PE"/>
        </w:rPr>
      </w:pPr>
      <w:r w:rsidRPr="00F07A7F">
        <w:rPr>
          <w:rFonts w:ascii="Tahoma" w:hAnsi="Tahoma" w:cs="Tahoma"/>
          <w:sz w:val="20"/>
          <w:szCs w:val="20"/>
          <w:lang w:val="es-ES_tradnl"/>
        </w:rPr>
        <w:t xml:space="preserve">El presente proceso está referido </w:t>
      </w:r>
      <w:r w:rsidRPr="00F07A7F">
        <w:rPr>
          <w:rFonts w:ascii="Tahoma" w:hAnsi="Tahoma" w:cs="Tahoma"/>
          <w:sz w:val="20"/>
          <w:szCs w:val="20"/>
        </w:rPr>
        <w:t>a la supuesta responsabilidad la Contratista, por haber participado en la Adjudicación de Menor Cuantía Nº 008-2010-FAP/SEBAT, proceso convocado por la Fuerza Aérea del Perú para la adquisición de “electrobomba con instalación a todo costo”</w:t>
      </w:r>
      <w:r w:rsidRPr="00F07A7F">
        <w:rPr>
          <w:rFonts w:ascii="Tahoma" w:hAnsi="Tahoma" w:cs="Tahoma"/>
          <w:spacing w:val="-2"/>
          <w:sz w:val="20"/>
          <w:szCs w:val="20"/>
        </w:rPr>
        <w:t xml:space="preserve">, imputándosele </w:t>
      </w:r>
      <w:r w:rsidRPr="00F07A7F">
        <w:rPr>
          <w:rFonts w:ascii="Tahoma" w:hAnsi="Tahoma" w:cs="Tahoma"/>
          <w:sz w:val="20"/>
          <w:szCs w:val="20"/>
        </w:rPr>
        <w:t>el haber dado lugar a la resolución del contrato (Orden de Compra Nº 038-0059) de fecha 26.05.2010 derivado del proceso de selección referido; infracción tipificada en el literal b) del numeral 51.1 del artículo 51 de la Ley de Contrataciones del Estado; aprobado por Decreto Legislativo Nº 1017, en adelante, la Ley y el literal b), del numeral 1 del artículo 237 del Reglamento de la Ley de Contrataciones del Estado, aprobado por Decreto Supremo Nº 184-2008-EF, en adelante, el Reglamento, normas vigentes al momento de la producción de los hechos denunciados.</w:t>
      </w:r>
    </w:p>
    <w:p w:rsidR="004F26BC" w:rsidRPr="00F07A7F" w:rsidRDefault="004F26BC" w:rsidP="004F26BC">
      <w:pPr>
        <w:pStyle w:val="Textoindependiente"/>
        <w:widowControl w:val="0"/>
        <w:tabs>
          <w:tab w:val="left" w:pos="2410"/>
        </w:tabs>
        <w:suppressAutoHyphens/>
        <w:spacing w:after="0"/>
        <w:ind w:left="567"/>
        <w:jc w:val="both"/>
        <w:rPr>
          <w:rFonts w:ascii="Tahoma" w:hAnsi="Tahoma" w:cs="Tahoma"/>
          <w:sz w:val="20"/>
          <w:szCs w:val="20"/>
          <w:lang w:val="es-PE"/>
        </w:rPr>
      </w:pPr>
    </w:p>
    <w:p w:rsidR="00F07A7F" w:rsidRPr="00F07A7F" w:rsidRDefault="00F07A7F" w:rsidP="00F07A7F">
      <w:pPr>
        <w:pStyle w:val="Textoindependiente"/>
        <w:widowControl w:val="0"/>
        <w:numPr>
          <w:ilvl w:val="0"/>
          <w:numId w:val="9"/>
        </w:numPr>
        <w:tabs>
          <w:tab w:val="left" w:pos="2410"/>
        </w:tabs>
        <w:suppressAutoHyphens/>
        <w:spacing w:after="0"/>
        <w:ind w:left="567" w:hanging="567"/>
        <w:jc w:val="both"/>
        <w:rPr>
          <w:rFonts w:ascii="Tahoma" w:hAnsi="Tahoma" w:cs="Tahoma"/>
          <w:sz w:val="20"/>
          <w:szCs w:val="20"/>
          <w:lang w:val="es-PE"/>
        </w:rPr>
      </w:pPr>
      <w:r w:rsidRPr="00F07A7F">
        <w:rPr>
          <w:rFonts w:ascii="Tahoma" w:hAnsi="Tahoma" w:cs="Tahoma"/>
          <w:sz w:val="20"/>
          <w:szCs w:val="20"/>
        </w:rPr>
        <w:t>Téngase en cuenta que la infracción contemplada en el literal b) del artículo 51 de la Ley y el literal b) del artículo 237º del Reglamento establece como supuesto de hecho indispensable para su configuración, la resolución del contrato, orden de compra o de servicios, según corresponda, por causal atribuible al contratista</w:t>
      </w:r>
      <w:r w:rsidRPr="00F07A7F">
        <w:rPr>
          <w:rFonts w:ascii="Tahoma" w:hAnsi="Tahoma" w:cs="Tahoma"/>
          <w:b/>
          <w:sz w:val="20"/>
          <w:szCs w:val="20"/>
        </w:rPr>
        <w:t>.</w:t>
      </w:r>
    </w:p>
    <w:p w:rsidR="004F26BC" w:rsidRPr="00F07A7F" w:rsidRDefault="004F26BC" w:rsidP="004F26BC">
      <w:pPr>
        <w:pStyle w:val="Prrafodelista"/>
        <w:rPr>
          <w:rFonts w:ascii="Tahoma" w:hAnsi="Tahoma" w:cs="Tahoma"/>
          <w:sz w:val="20"/>
          <w:lang w:val="es-PE"/>
        </w:rPr>
      </w:pPr>
    </w:p>
    <w:p w:rsidR="004F26BC" w:rsidRPr="00F07A7F" w:rsidRDefault="004F26BC" w:rsidP="004F26BC">
      <w:pPr>
        <w:pStyle w:val="Textoindependiente"/>
        <w:widowControl w:val="0"/>
        <w:numPr>
          <w:ilvl w:val="0"/>
          <w:numId w:val="9"/>
        </w:numPr>
        <w:tabs>
          <w:tab w:val="left" w:pos="2410"/>
        </w:tabs>
        <w:suppressAutoHyphens/>
        <w:spacing w:after="0"/>
        <w:ind w:left="567" w:hanging="567"/>
        <w:jc w:val="both"/>
        <w:rPr>
          <w:rFonts w:ascii="Tahoma" w:hAnsi="Tahoma" w:cs="Tahoma"/>
          <w:sz w:val="20"/>
          <w:szCs w:val="20"/>
          <w:lang w:val="es-PE"/>
        </w:rPr>
      </w:pPr>
      <w:r w:rsidRPr="00F07A7F">
        <w:rPr>
          <w:rFonts w:ascii="Tahoma" w:hAnsi="Tahoma" w:cs="Tahoma"/>
          <w:sz w:val="20"/>
          <w:szCs w:val="20"/>
        </w:rPr>
        <w:t>Teniendo en consideración lo indicado precedentemente, debe tenerse presente que el artículo 168º del Reglamento dispone que la Entidad podrá resolver el contrato, de conformidad con el inciso c) del artículo 40º de la Ley, en caso de incumplimiento por parte del contratista de alguna de sus obligaciones, que haya sido previamente observada por la Entidad.</w:t>
      </w:r>
    </w:p>
    <w:p w:rsidR="004F26BC" w:rsidRPr="00F07A7F" w:rsidRDefault="004F26BC" w:rsidP="004F26BC">
      <w:pPr>
        <w:pStyle w:val="Prrafodelista"/>
        <w:rPr>
          <w:rFonts w:ascii="Tahoma" w:hAnsi="Tahoma" w:cs="Tahoma"/>
          <w:sz w:val="20"/>
        </w:rPr>
      </w:pPr>
    </w:p>
    <w:p w:rsidR="004F26BC" w:rsidRPr="00F07A7F" w:rsidRDefault="004F26BC" w:rsidP="004F26BC">
      <w:pPr>
        <w:pStyle w:val="Textoindependiente"/>
        <w:widowControl w:val="0"/>
        <w:numPr>
          <w:ilvl w:val="0"/>
          <w:numId w:val="9"/>
        </w:numPr>
        <w:tabs>
          <w:tab w:val="left" w:pos="2410"/>
        </w:tabs>
        <w:suppressAutoHyphens/>
        <w:spacing w:after="0"/>
        <w:ind w:left="567" w:hanging="567"/>
        <w:jc w:val="both"/>
        <w:rPr>
          <w:rFonts w:ascii="Tahoma" w:hAnsi="Tahoma" w:cs="Tahoma"/>
          <w:sz w:val="20"/>
          <w:szCs w:val="20"/>
          <w:lang w:val="es-PE"/>
        </w:rPr>
      </w:pPr>
      <w:r w:rsidRPr="00F07A7F">
        <w:rPr>
          <w:rFonts w:ascii="Tahoma" w:hAnsi="Tahoma" w:cs="Tahoma"/>
          <w:sz w:val="20"/>
          <w:szCs w:val="20"/>
        </w:rPr>
        <w:t xml:space="preserve">El procedimiento de resolución contractual, cuya observancia es condición necesaria para evaluar la existencia de eventuales responsabilidades de carácter administrativo, se encuentra previsto en el artículo 169º del precitado Reglamento, según el cual en caso de incumplimiento contractual de una de las partes involucradas, la parte que resulte perjudicada con tal hecho requerirá a la otra notarialmente para que satisfaga sus obligaciones en un plazo no mayor a cinco (05) días, bajo apercibimiento de resolver el contrato, siendo que dependiendo del monto contractual y de la complejidad, envergadura o sofisticación de la contratación, La Entidad puede establecer plazos mayores, pero en ningún caso mayor a quince (15) días, plazo este último que se otorgará necesariamente en el caso de obras. Si vencido dicho plazo el incumplimiento continúa, la parte perjudicada resolverá el contrato en forma total o parcial, comunicando </w:t>
      </w:r>
      <w:r w:rsidRPr="00F07A7F">
        <w:rPr>
          <w:rFonts w:ascii="Tahoma" w:hAnsi="Tahoma" w:cs="Tahoma"/>
          <w:sz w:val="20"/>
          <w:szCs w:val="20"/>
        </w:rPr>
        <w:lastRenderedPageBreak/>
        <w:t xml:space="preserve">mediante carta notarial, la decisión de resolver el contrato. </w:t>
      </w:r>
      <w:r w:rsidRPr="00F07A7F">
        <w:rPr>
          <w:rFonts w:ascii="Tahoma" w:hAnsi="Tahoma" w:cs="Tahoma"/>
          <w:b/>
          <w:sz w:val="20"/>
          <w:szCs w:val="20"/>
        </w:rPr>
        <w:t xml:space="preserve"> </w:t>
      </w:r>
    </w:p>
    <w:p w:rsidR="004F26BC" w:rsidRPr="00F07A7F" w:rsidRDefault="004F26BC" w:rsidP="004F26BC">
      <w:pPr>
        <w:pStyle w:val="Prrafodelista"/>
        <w:rPr>
          <w:rFonts w:ascii="Tahoma" w:hAnsi="Tahoma" w:cs="Tahoma"/>
          <w:sz w:val="20"/>
        </w:rPr>
      </w:pPr>
    </w:p>
    <w:p w:rsidR="004F26BC" w:rsidRPr="00F07A7F" w:rsidRDefault="004F26BC" w:rsidP="004F26BC">
      <w:pPr>
        <w:pStyle w:val="Textoindependiente"/>
        <w:widowControl w:val="0"/>
        <w:numPr>
          <w:ilvl w:val="0"/>
          <w:numId w:val="9"/>
        </w:numPr>
        <w:tabs>
          <w:tab w:val="left" w:pos="2410"/>
        </w:tabs>
        <w:suppressAutoHyphens/>
        <w:spacing w:after="0"/>
        <w:ind w:left="567" w:hanging="567"/>
        <w:jc w:val="both"/>
        <w:rPr>
          <w:rFonts w:ascii="Tahoma" w:hAnsi="Tahoma" w:cs="Tahoma"/>
          <w:sz w:val="20"/>
          <w:szCs w:val="20"/>
          <w:lang w:val="es-PE"/>
        </w:rPr>
      </w:pPr>
      <w:r w:rsidRPr="00F07A7F">
        <w:rPr>
          <w:rFonts w:ascii="Tahoma" w:hAnsi="Tahoma" w:cs="Tahoma"/>
          <w:sz w:val="20"/>
          <w:szCs w:val="20"/>
        </w:rPr>
        <w:t>Al respecto, como primer punto de análisis, corresponde examinar si la Entidad ha cumplido con el procedimiento de resolución del contrato, previsto en los artículos 168º y 169º del Reglamento. De la lectura de las disposiciones glosadas, se concluye que resulta imperativo que la Entidad siga el procedimiento descrito y cumpla con las formalidades previstas en la normativa, ello con la finalidad que la resolución contractual sea válida.</w:t>
      </w:r>
    </w:p>
    <w:p w:rsidR="004F26BC" w:rsidRPr="00F07A7F" w:rsidRDefault="004F26BC" w:rsidP="004F26BC">
      <w:pPr>
        <w:pStyle w:val="Prrafodelista"/>
        <w:rPr>
          <w:rFonts w:ascii="Tahoma" w:hAnsi="Tahoma" w:cs="Tahoma"/>
          <w:sz w:val="20"/>
        </w:rPr>
      </w:pPr>
    </w:p>
    <w:p w:rsidR="004F26BC" w:rsidRPr="00F07A7F" w:rsidRDefault="004F26BC" w:rsidP="004F26BC">
      <w:pPr>
        <w:pStyle w:val="Textoindependiente"/>
        <w:widowControl w:val="0"/>
        <w:numPr>
          <w:ilvl w:val="0"/>
          <w:numId w:val="9"/>
        </w:numPr>
        <w:tabs>
          <w:tab w:val="left" w:pos="2410"/>
        </w:tabs>
        <w:suppressAutoHyphens/>
        <w:spacing w:after="0"/>
        <w:ind w:left="567" w:hanging="567"/>
        <w:jc w:val="both"/>
        <w:rPr>
          <w:rFonts w:ascii="Tahoma" w:hAnsi="Tahoma" w:cs="Tahoma"/>
          <w:i/>
          <w:sz w:val="20"/>
          <w:szCs w:val="20"/>
          <w:lang w:val="es-PE"/>
        </w:rPr>
      </w:pPr>
      <w:r w:rsidRPr="00F07A7F">
        <w:rPr>
          <w:rFonts w:ascii="Tahoma" w:hAnsi="Tahoma" w:cs="Tahoma"/>
          <w:sz w:val="20"/>
          <w:szCs w:val="20"/>
        </w:rPr>
        <w:t xml:space="preserve">De la información remitida por la Entidad a la Contratista, se ha verificado que, mediante Carta Notarial NC-70-SADA-ML-Nº 0137 del 10 de junio de 2010, diligenciada notarialmente el 21 de junio de 2010, La Entidad comunicó al Postor lo siguiente: </w:t>
      </w:r>
      <w:r w:rsidRPr="00F07A7F">
        <w:rPr>
          <w:rFonts w:ascii="Tahoma" w:hAnsi="Tahoma" w:cs="Tahoma"/>
          <w:i/>
          <w:sz w:val="20"/>
          <w:szCs w:val="20"/>
        </w:rPr>
        <w:t>“Por la presente me dirijo a Ud. por conducto notarial, para recordarle, lo que se encuentra estipulado en el artículo 49 de la Ley de Contrataciones del Estado, que a la letra dice: Los contratistas están obligados a cumplir cabalmente con lo ofrecido en su propuesta y en cualquier manifestación formal documentada que hayan aportado adicionalmente en el curso del proceso de selección o en la formalización del contrato, así como a lo dispuesto en los incisos 2) y 3) del artículo 1774 del Código Civil, que pare efectos del presente proceso de selección implicaba la atención total e instalación del bien adjudicado en la Adjudicación de Menor Cuantía Nº 008-2010-FAP/SEBAT hasta el día 08 del presente mes de junio, teniendo en cuenta el plazo de entrega de siete (07) días calendarios, contados a partir de la entrega del mismo.</w:t>
      </w:r>
    </w:p>
    <w:p w:rsidR="004F26BC" w:rsidRPr="00F07A7F" w:rsidRDefault="004F26BC" w:rsidP="004F26BC">
      <w:pPr>
        <w:pStyle w:val="Prrafodelista"/>
        <w:rPr>
          <w:rFonts w:ascii="Tahoma" w:hAnsi="Tahoma" w:cs="Tahoma"/>
          <w:i/>
          <w:sz w:val="20"/>
        </w:rPr>
      </w:pPr>
    </w:p>
    <w:p w:rsidR="004F26BC" w:rsidRPr="00F07A7F" w:rsidRDefault="004F26BC" w:rsidP="004F26BC">
      <w:pPr>
        <w:pStyle w:val="Textoindependiente"/>
        <w:widowControl w:val="0"/>
        <w:tabs>
          <w:tab w:val="left" w:pos="2410"/>
        </w:tabs>
        <w:suppressAutoHyphens/>
        <w:spacing w:after="0"/>
        <w:ind w:left="567"/>
        <w:jc w:val="both"/>
        <w:rPr>
          <w:rFonts w:ascii="Tahoma" w:hAnsi="Tahoma" w:cs="Tahoma"/>
          <w:sz w:val="20"/>
          <w:szCs w:val="20"/>
        </w:rPr>
      </w:pPr>
      <w:r w:rsidRPr="00F07A7F">
        <w:rPr>
          <w:rFonts w:ascii="Tahoma" w:hAnsi="Tahoma" w:cs="Tahoma"/>
          <w:i/>
          <w:sz w:val="20"/>
          <w:szCs w:val="20"/>
        </w:rPr>
        <w:t>En tal sentido, agradeceré dar atención a los materiales pendientes de internamiento en un plazo no mayor de cinco (05) días calendario, caso contrario se estaría faltando al cumplimiento de las obligaciones contraídas con el Estado, bajo apercibimiento de tener que resolverlas, tal y como se indica en el artículo 167 del Reglamento de la Ley de Contrataciones del Estado, sin perjuicio de las penalidades que se han comenzado a aplicar a partir del día siguiente de haberse definido el incumplimiento, tal y como se estipula en el Artículo 165 del Reglamento antes indicado.”</w:t>
      </w:r>
    </w:p>
    <w:p w:rsidR="004F26BC" w:rsidRPr="00F07A7F" w:rsidRDefault="004F26BC" w:rsidP="004F26BC">
      <w:pPr>
        <w:pStyle w:val="Prrafodelista"/>
        <w:rPr>
          <w:rFonts w:ascii="Tahoma" w:hAnsi="Tahoma" w:cs="Tahoma"/>
          <w:sz w:val="20"/>
        </w:rPr>
      </w:pPr>
    </w:p>
    <w:p w:rsidR="004F26BC" w:rsidRPr="00F07A7F" w:rsidRDefault="004F26BC" w:rsidP="004F26BC">
      <w:pPr>
        <w:pStyle w:val="Textoindependiente"/>
        <w:widowControl w:val="0"/>
        <w:tabs>
          <w:tab w:val="left" w:pos="2410"/>
        </w:tabs>
        <w:suppressAutoHyphens/>
        <w:spacing w:after="0"/>
        <w:ind w:left="567"/>
        <w:jc w:val="both"/>
        <w:rPr>
          <w:rFonts w:ascii="Tahoma" w:hAnsi="Tahoma" w:cs="Tahoma"/>
          <w:sz w:val="20"/>
          <w:szCs w:val="20"/>
        </w:rPr>
      </w:pPr>
      <w:r w:rsidRPr="00F07A7F">
        <w:rPr>
          <w:rFonts w:ascii="Tahoma" w:hAnsi="Tahoma" w:cs="Tahoma"/>
          <w:sz w:val="20"/>
          <w:szCs w:val="20"/>
        </w:rPr>
        <w:t xml:space="preserve">Al persistir el incumplimiento, mediante Carta Notarial NC-70-SADA-ML-Nº 0152 diligenciada el 03 de julio de 2010, La Entidad comunicó a la Contratista la resolución de la Orden de Compra Nº 038-0059 debido al incumplimiento en la entrega del bien requerido. </w:t>
      </w:r>
    </w:p>
    <w:p w:rsidR="004F26BC" w:rsidRPr="00F07A7F" w:rsidRDefault="004F26BC" w:rsidP="004F26BC">
      <w:pPr>
        <w:pStyle w:val="Prrafodelista"/>
        <w:rPr>
          <w:rFonts w:ascii="Tahoma" w:hAnsi="Tahoma" w:cs="Tahoma"/>
          <w:sz w:val="20"/>
        </w:rPr>
      </w:pPr>
    </w:p>
    <w:p w:rsidR="00F07A7F" w:rsidRPr="00F07A7F" w:rsidRDefault="004F26BC" w:rsidP="00F07A7F">
      <w:pPr>
        <w:pStyle w:val="Textoindependiente"/>
        <w:widowControl w:val="0"/>
        <w:numPr>
          <w:ilvl w:val="0"/>
          <w:numId w:val="9"/>
        </w:numPr>
        <w:tabs>
          <w:tab w:val="left" w:pos="2410"/>
        </w:tabs>
        <w:suppressAutoHyphens/>
        <w:spacing w:after="0"/>
        <w:ind w:left="567" w:hanging="567"/>
        <w:jc w:val="both"/>
        <w:rPr>
          <w:rFonts w:ascii="Tahoma" w:hAnsi="Tahoma" w:cs="Tahoma"/>
          <w:sz w:val="20"/>
          <w:szCs w:val="20"/>
        </w:rPr>
      </w:pPr>
      <w:r w:rsidRPr="00F07A7F">
        <w:rPr>
          <w:rFonts w:ascii="Tahoma" w:hAnsi="Tahoma" w:cs="Tahoma"/>
          <w:sz w:val="20"/>
          <w:szCs w:val="20"/>
        </w:rPr>
        <w:t>En razón de lo expuesto, se ha acreditado que la Entidad requirió válidamente al Contratista para que ejecute las prestaciones a su cargo, de acuerdo con el procedimiento previsto en el artículo 169º del Reglamento, con lo cual ha quedado resuelto de pleno derecho el contrato.</w:t>
      </w:r>
    </w:p>
    <w:p w:rsidR="00F07A7F" w:rsidRPr="00F07A7F" w:rsidRDefault="00F07A7F" w:rsidP="00F07A7F">
      <w:pPr>
        <w:pStyle w:val="Textoindependiente"/>
        <w:widowControl w:val="0"/>
        <w:tabs>
          <w:tab w:val="left" w:pos="2410"/>
        </w:tabs>
        <w:suppressAutoHyphens/>
        <w:spacing w:after="0"/>
        <w:ind w:left="567"/>
        <w:jc w:val="both"/>
        <w:rPr>
          <w:rFonts w:ascii="Tahoma" w:hAnsi="Tahoma" w:cs="Tahoma"/>
          <w:sz w:val="20"/>
          <w:szCs w:val="20"/>
        </w:rPr>
      </w:pPr>
    </w:p>
    <w:p w:rsidR="00F07A7F" w:rsidRPr="00F07A7F" w:rsidRDefault="00F07A7F" w:rsidP="00F07A7F">
      <w:pPr>
        <w:pStyle w:val="Textoindependiente"/>
        <w:widowControl w:val="0"/>
        <w:tabs>
          <w:tab w:val="left" w:pos="2410"/>
        </w:tabs>
        <w:suppressAutoHyphens/>
        <w:spacing w:after="0"/>
        <w:ind w:left="567"/>
        <w:jc w:val="both"/>
        <w:rPr>
          <w:rFonts w:ascii="Tahoma" w:hAnsi="Tahoma" w:cs="Tahoma"/>
          <w:sz w:val="20"/>
          <w:szCs w:val="20"/>
        </w:rPr>
      </w:pPr>
      <w:r w:rsidRPr="00F07A7F">
        <w:rPr>
          <w:rFonts w:ascii="Tahoma" w:hAnsi="Tahoma" w:cs="Tahoma"/>
          <w:sz w:val="20"/>
          <w:szCs w:val="20"/>
        </w:rPr>
        <w:t>Nótese además que según lo informado en esta instancia  el Contratista no ha objetado sus efectos utilizando los mecanismos de solución de controversias (conciliación y arbitraje) con lo que debe entenderse que la misma ha quedado consentida.</w:t>
      </w:r>
    </w:p>
    <w:p w:rsidR="004F26BC" w:rsidRPr="00F07A7F" w:rsidRDefault="004F26BC" w:rsidP="004F26BC">
      <w:pPr>
        <w:pStyle w:val="Textoindependiente"/>
        <w:widowControl w:val="0"/>
        <w:tabs>
          <w:tab w:val="left" w:pos="2410"/>
        </w:tabs>
        <w:suppressAutoHyphens/>
        <w:spacing w:after="0"/>
        <w:ind w:left="2410"/>
        <w:jc w:val="both"/>
        <w:rPr>
          <w:rFonts w:ascii="Tahoma" w:hAnsi="Tahoma" w:cs="Tahoma"/>
          <w:sz w:val="20"/>
          <w:szCs w:val="20"/>
        </w:rPr>
      </w:pPr>
    </w:p>
    <w:p w:rsidR="004F26BC" w:rsidRPr="00F07A7F" w:rsidRDefault="004F26BC" w:rsidP="004F26BC">
      <w:pPr>
        <w:pStyle w:val="Textoindependiente"/>
        <w:widowControl w:val="0"/>
        <w:numPr>
          <w:ilvl w:val="0"/>
          <w:numId w:val="9"/>
        </w:numPr>
        <w:tabs>
          <w:tab w:val="left" w:pos="2410"/>
        </w:tabs>
        <w:suppressAutoHyphens/>
        <w:spacing w:after="0"/>
        <w:ind w:left="567" w:hanging="567"/>
        <w:jc w:val="both"/>
        <w:rPr>
          <w:rFonts w:ascii="Tahoma" w:hAnsi="Tahoma" w:cs="Tahoma"/>
          <w:sz w:val="20"/>
          <w:szCs w:val="20"/>
        </w:rPr>
      </w:pPr>
      <w:r w:rsidRPr="00F07A7F">
        <w:rPr>
          <w:rFonts w:ascii="Tahoma" w:hAnsi="Tahoma" w:cs="Tahoma"/>
          <w:sz w:val="20"/>
          <w:szCs w:val="20"/>
        </w:rPr>
        <w:t xml:space="preserve">En ese orden de ideas, al establecerse que la resolución de contrato se produjo de acuerdo a la normativa en contratación pública, corresponde a este Colegiado determinar si dicha conducta resultó justificada o no, en tanto que solamente el incumplimiento que obedece a causas injustificadas atribuibles a los contratistas es sancionable administrativamente, en estricta observancia del Principio de Tipicidad previsto en el artículo 230º de la Ley Nº 27444 – Ley del Procedimiento Administrativo General, en </w:t>
      </w:r>
      <w:r w:rsidRPr="00F07A7F">
        <w:rPr>
          <w:rFonts w:ascii="Tahoma" w:hAnsi="Tahoma" w:cs="Tahoma"/>
          <w:sz w:val="20"/>
          <w:szCs w:val="20"/>
        </w:rPr>
        <w:lastRenderedPageBreak/>
        <w:t>cuya virtud sólo constituyen conductas sancionables administrativamente las infracciones previstas expresamente en normas con rango de ley mediante su tipificación como tales, sin admitir interpretación extensiva o por analogía.</w:t>
      </w:r>
    </w:p>
    <w:p w:rsidR="004F26BC" w:rsidRPr="00F07A7F" w:rsidRDefault="004F26BC" w:rsidP="004F26BC">
      <w:pPr>
        <w:pStyle w:val="Prrafodelista"/>
        <w:rPr>
          <w:rFonts w:ascii="Tahoma" w:hAnsi="Tahoma" w:cs="Tahoma"/>
          <w:sz w:val="20"/>
        </w:rPr>
      </w:pPr>
    </w:p>
    <w:p w:rsidR="004F26BC" w:rsidRPr="00F07A7F" w:rsidRDefault="004F26BC" w:rsidP="004F26BC">
      <w:pPr>
        <w:pStyle w:val="Textoindependiente"/>
        <w:widowControl w:val="0"/>
        <w:numPr>
          <w:ilvl w:val="0"/>
          <w:numId w:val="9"/>
        </w:numPr>
        <w:tabs>
          <w:tab w:val="left" w:pos="2410"/>
        </w:tabs>
        <w:suppressAutoHyphens/>
        <w:spacing w:after="0"/>
        <w:ind w:left="567" w:hanging="567"/>
        <w:jc w:val="both"/>
        <w:rPr>
          <w:rFonts w:ascii="Tahoma" w:hAnsi="Tahoma" w:cs="Tahoma"/>
          <w:sz w:val="20"/>
          <w:szCs w:val="20"/>
        </w:rPr>
      </w:pPr>
      <w:r w:rsidRPr="00F07A7F">
        <w:rPr>
          <w:rFonts w:ascii="Tahoma" w:hAnsi="Tahoma" w:cs="Tahoma"/>
          <w:sz w:val="20"/>
          <w:szCs w:val="20"/>
        </w:rPr>
        <w:t>En ese sentido, cabe anotar que existe una presunción legal que el incumplimiento de obligaciones o su cumplimiento parcial, tardío o defectuoso, es atribuible a la parte que debió ejecutarlas, salvo que ésta demuestre que el incumplimiento se produjo, a pesar de haber actuado con la diligencia ordinaria exigida por la naturaleza de la prestación, o que la causa de ella fue un caso fortuito o fuerza mayor</w:t>
      </w:r>
      <w:r w:rsidRPr="00F07A7F">
        <w:rPr>
          <w:rStyle w:val="Refdenotaalpie"/>
          <w:rFonts w:ascii="Tahoma" w:hAnsi="Tahoma" w:cs="Tahoma"/>
          <w:sz w:val="20"/>
          <w:szCs w:val="20"/>
        </w:rPr>
        <w:footnoteReference w:id="2"/>
      </w:r>
      <w:r w:rsidRPr="00F07A7F">
        <w:rPr>
          <w:rFonts w:ascii="Tahoma" w:hAnsi="Tahoma" w:cs="Tahoma"/>
          <w:sz w:val="20"/>
          <w:szCs w:val="20"/>
        </w:rPr>
        <w:t>. Sin embargo, es preciso tener en cuenta que la Contratista no ha formulado sus descargos, a pesar de haber sido debidamente notificado mediante Cédula Nº 29558/2010.TC</w:t>
      </w:r>
      <w:r w:rsidRPr="00F07A7F">
        <w:rPr>
          <w:rStyle w:val="Refdenotaalpie"/>
          <w:rFonts w:ascii="Tahoma" w:hAnsi="Tahoma" w:cs="Tahoma"/>
          <w:sz w:val="20"/>
          <w:szCs w:val="20"/>
        </w:rPr>
        <w:footnoteReference w:id="3"/>
      </w:r>
      <w:r w:rsidRPr="00F07A7F">
        <w:rPr>
          <w:rFonts w:ascii="Tahoma" w:hAnsi="Tahoma" w:cs="Tahoma"/>
          <w:sz w:val="20"/>
          <w:szCs w:val="20"/>
        </w:rPr>
        <w:t>, según el cargo que consta en autos.</w:t>
      </w:r>
    </w:p>
    <w:p w:rsidR="004F26BC" w:rsidRPr="00F07A7F" w:rsidRDefault="004F26BC" w:rsidP="004F26BC">
      <w:pPr>
        <w:pStyle w:val="Prrafodelista"/>
        <w:rPr>
          <w:rFonts w:ascii="Tahoma" w:hAnsi="Tahoma" w:cs="Tahoma"/>
          <w:sz w:val="20"/>
        </w:rPr>
      </w:pPr>
    </w:p>
    <w:p w:rsidR="004F26BC" w:rsidRPr="00F07A7F" w:rsidRDefault="004F26BC" w:rsidP="004F26BC">
      <w:pPr>
        <w:numPr>
          <w:ilvl w:val="0"/>
          <w:numId w:val="2"/>
        </w:numPr>
        <w:tabs>
          <w:tab w:val="clear" w:pos="340"/>
          <w:tab w:val="num" w:pos="540"/>
          <w:tab w:val="num" w:pos="1035"/>
        </w:tabs>
        <w:ind w:left="540" w:hanging="540"/>
        <w:jc w:val="both"/>
        <w:rPr>
          <w:rFonts w:ascii="Tahoma" w:hAnsi="Tahoma" w:cs="Tahoma"/>
          <w:sz w:val="20"/>
          <w:szCs w:val="20"/>
        </w:rPr>
      </w:pPr>
      <w:r w:rsidRPr="00F07A7F">
        <w:rPr>
          <w:rFonts w:ascii="Tahoma" w:hAnsi="Tahoma" w:cs="Tahoma"/>
          <w:sz w:val="20"/>
          <w:szCs w:val="20"/>
        </w:rPr>
        <w:t>Adicionalmente a ello, cabe indicar que obra en autos la Carta Nº 001-2010-GG-WALACE, que es remitida por la Contratista a la Entidad, indicando lo siguiente:</w:t>
      </w:r>
    </w:p>
    <w:p w:rsidR="004F26BC" w:rsidRPr="00F07A7F" w:rsidRDefault="004F26BC" w:rsidP="004F26BC">
      <w:pPr>
        <w:tabs>
          <w:tab w:val="num" w:pos="1035"/>
        </w:tabs>
        <w:ind w:left="540"/>
        <w:jc w:val="both"/>
        <w:rPr>
          <w:rFonts w:ascii="Tahoma" w:hAnsi="Tahoma" w:cs="Tahoma"/>
          <w:sz w:val="20"/>
          <w:szCs w:val="20"/>
        </w:rPr>
      </w:pPr>
    </w:p>
    <w:p w:rsidR="004F26BC" w:rsidRPr="00F07A7F" w:rsidRDefault="004F26BC" w:rsidP="0004428E">
      <w:pPr>
        <w:tabs>
          <w:tab w:val="num" w:pos="1035"/>
        </w:tabs>
        <w:ind w:left="540"/>
        <w:jc w:val="both"/>
        <w:rPr>
          <w:rFonts w:ascii="Tahoma" w:hAnsi="Tahoma" w:cs="Tahoma"/>
          <w:i/>
          <w:sz w:val="20"/>
          <w:szCs w:val="20"/>
        </w:rPr>
      </w:pPr>
      <w:r w:rsidRPr="00F07A7F">
        <w:rPr>
          <w:rFonts w:ascii="Tahoma" w:hAnsi="Tahoma" w:cs="Tahoma"/>
          <w:i/>
          <w:sz w:val="20"/>
          <w:szCs w:val="20"/>
        </w:rPr>
        <w:t>“Me es grato dirigirme a ustedes, con la finalidad de informarles que por razones de carácter técnico en el cumplimiento de las especificaciones presentadas en nuestra propuesta técnica, mi representada Wallace Import SAC no podrá asumir el cumplimiento de la instalación de la “ELECTROBOMBA DE 15 HP”  de la AMC Nº 08/2010-FAP/SEBAT, teniendo en cuenta que las ESPECIFICACIONES TECNICAS solicitadas en las Bases, está dirigida para una BOMBA ROTATIVA DE PALETAS DE 15 HP PARA COMBUSTIBLE TURBO A-1, la misma que es una bomba especialmente diseñada para el funcionamiento con este tipo de combustible y con especificaciones técnicas especificas, donde incluso indican (YB-80) y marca (MORRISON).</w:t>
      </w:r>
    </w:p>
    <w:p w:rsidR="004F26BC" w:rsidRPr="00F07A7F" w:rsidRDefault="004F26BC" w:rsidP="004F26BC">
      <w:pPr>
        <w:pStyle w:val="Prrafodelista"/>
        <w:rPr>
          <w:rFonts w:ascii="Tahoma" w:hAnsi="Tahoma" w:cs="Tahoma"/>
          <w:i/>
          <w:sz w:val="20"/>
        </w:rPr>
      </w:pPr>
    </w:p>
    <w:p w:rsidR="004F26BC" w:rsidRPr="00F07A7F" w:rsidRDefault="004F26BC" w:rsidP="004F26BC">
      <w:pPr>
        <w:tabs>
          <w:tab w:val="num" w:pos="1035"/>
        </w:tabs>
        <w:ind w:left="540"/>
        <w:jc w:val="both"/>
        <w:rPr>
          <w:rFonts w:ascii="Tahoma" w:hAnsi="Tahoma" w:cs="Tahoma"/>
          <w:i/>
          <w:sz w:val="20"/>
          <w:szCs w:val="20"/>
        </w:rPr>
      </w:pPr>
      <w:r w:rsidRPr="00F07A7F">
        <w:rPr>
          <w:rFonts w:ascii="Tahoma" w:hAnsi="Tahoma" w:cs="Tahoma"/>
          <w:i/>
          <w:sz w:val="20"/>
          <w:szCs w:val="20"/>
        </w:rPr>
        <w:t>Walace Import SAC cuenta con experiencia en instalación de bombas para agua y residuos sólidos tal es así que en nuestra propuesta técnica hemos ofertado una ELECTROBOMBA DE 15 HP MARCA PEDROLLO, y que haciendo las consultas técnicas con esta marca, Pedrollo no fabrica equipos para la succión de combustibles, por lo que nos vemos en la imposibilidad de cumplir con la entrega e instalación de la bomba, siendo este hecho una descoordinación por parte del personal técnico de ventas. Wallace Import SAC asume la responsabilidad del caso, considerando que sería una pérdida económica para la empresa asumir el costo de la bomba rotativa de paletas de 15 HP para combustible turbo A-1 la misma que sobrepasa los costos de adquisición e instalación.</w:t>
      </w:r>
    </w:p>
    <w:p w:rsidR="004F26BC" w:rsidRPr="00F07A7F" w:rsidRDefault="004F26BC" w:rsidP="004F26BC">
      <w:pPr>
        <w:pStyle w:val="Prrafodelista"/>
        <w:rPr>
          <w:rFonts w:ascii="Tahoma" w:hAnsi="Tahoma" w:cs="Tahoma"/>
          <w:i/>
          <w:sz w:val="20"/>
        </w:rPr>
      </w:pPr>
    </w:p>
    <w:p w:rsidR="004F26BC" w:rsidRPr="00F07A7F" w:rsidRDefault="004F26BC" w:rsidP="004F26BC">
      <w:pPr>
        <w:tabs>
          <w:tab w:val="num" w:pos="1035"/>
        </w:tabs>
        <w:ind w:left="540"/>
        <w:jc w:val="both"/>
        <w:rPr>
          <w:rFonts w:ascii="Tahoma" w:hAnsi="Tahoma" w:cs="Tahoma"/>
          <w:i/>
          <w:sz w:val="20"/>
          <w:szCs w:val="20"/>
        </w:rPr>
      </w:pPr>
      <w:r w:rsidRPr="00F07A7F">
        <w:rPr>
          <w:rFonts w:ascii="Tahoma" w:hAnsi="Tahoma" w:cs="Tahoma"/>
          <w:i/>
          <w:sz w:val="20"/>
          <w:szCs w:val="20"/>
        </w:rPr>
        <w:t>Asimismo, cabe indicar que en el proceso de selección debió indicarse el nombre correcto de la bomba puesto que ELECTROBOMBA DE 15 HP  existe pluralidad en el mercado local, si hubiesen indicado BOMBA ROTATIVA DE PALETAS DE 15 HP PARA COMBUSTIBLES TURBO A-1 no nos hubiéramos presentado al proceso de selección referido, puesto que generó la confusión al momento de ofertar la BOMBA.”</w:t>
      </w:r>
    </w:p>
    <w:p w:rsidR="004F26BC" w:rsidRPr="00F07A7F" w:rsidRDefault="004F26BC" w:rsidP="004F26BC">
      <w:pPr>
        <w:tabs>
          <w:tab w:val="num" w:pos="1035"/>
        </w:tabs>
        <w:ind w:left="540"/>
        <w:jc w:val="both"/>
        <w:rPr>
          <w:rFonts w:ascii="Tahoma" w:hAnsi="Tahoma" w:cs="Tahoma"/>
          <w:i/>
          <w:sz w:val="20"/>
          <w:szCs w:val="20"/>
        </w:rPr>
      </w:pPr>
    </w:p>
    <w:p w:rsidR="004F26BC" w:rsidRPr="00F07A7F" w:rsidRDefault="004F26BC" w:rsidP="004F26BC">
      <w:pPr>
        <w:pStyle w:val="Textoindependiente"/>
        <w:widowControl w:val="0"/>
        <w:numPr>
          <w:ilvl w:val="0"/>
          <w:numId w:val="2"/>
        </w:numPr>
        <w:tabs>
          <w:tab w:val="clear" w:pos="340"/>
          <w:tab w:val="num" w:pos="567"/>
          <w:tab w:val="left" w:pos="2410"/>
        </w:tabs>
        <w:suppressAutoHyphens/>
        <w:spacing w:after="0"/>
        <w:ind w:left="567" w:hanging="567"/>
        <w:jc w:val="both"/>
        <w:rPr>
          <w:rFonts w:ascii="Tahoma" w:hAnsi="Tahoma" w:cs="Tahoma"/>
          <w:sz w:val="20"/>
          <w:szCs w:val="20"/>
        </w:rPr>
      </w:pPr>
      <w:r w:rsidRPr="00F07A7F">
        <w:rPr>
          <w:rFonts w:ascii="Tahoma" w:hAnsi="Tahoma" w:cs="Tahoma"/>
          <w:sz w:val="20"/>
          <w:szCs w:val="20"/>
        </w:rPr>
        <w:lastRenderedPageBreak/>
        <w:t>Sobre el particular, se aprecia que la Contratista manifestó su negativa a cumplir con la obligación contraída justificando su actitud debido a la descoordinación hecha por su departamento de ventas que resultó en su participación en el proceso de selección referido, al cual no debieron haberse presentado por no comercializar el bien materia de la convocatoria; manifestando además que el nombre con que la Entidad describió el objeto de la convocatoria condujo a error a la Contratista, señalando que si hubiera sido más específico no se hubiera presentado al proceso.</w:t>
      </w:r>
    </w:p>
    <w:p w:rsidR="004F26BC" w:rsidRPr="00F07A7F" w:rsidRDefault="004F26BC" w:rsidP="004F26BC">
      <w:pPr>
        <w:pStyle w:val="Textoindependiente"/>
        <w:widowControl w:val="0"/>
        <w:tabs>
          <w:tab w:val="left" w:pos="2410"/>
        </w:tabs>
        <w:suppressAutoHyphens/>
        <w:spacing w:after="0"/>
        <w:ind w:left="567"/>
        <w:jc w:val="both"/>
        <w:rPr>
          <w:rFonts w:ascii="Tahoma" w:hAnsi="Tahoma" w:cs="Tahoma"/>
          <w:sz w:val="20"/>
          <w:szCs w:val="20"/>
        </w:rPr>
      </w:pPr>
    </w:p>
    <w:p w:rsidR="004F26BC" w:rsidRPr="00F07A7F" w:rsidRDefault="004F26BC" w:rsidP="004F26BC">
      <w:pPr>
        <w:pStyle w:val="Textoindependiente"/>
        <w:widowControl w:val="0"/>
        <w:numPr>
          <w:ilvl w:val="0"/>
          <w:numId w:val="2"/>
        </w:numPr>
        <w:tabs>
          <w:tab w:val="clear" w:pos="340"/>
          <w:tab w:val="num" w:pos="567"/>
          <w:tab w:val="left" w:pos="2410"/>
        </w:tabs>
        <w:suppressAutoHyphens/>
        <w:spacing w:after="0"/>
        <w:ind w:left="567" w:hanging="567"/>
        <w:jc w:val="both"/>
        <w:rPr>
          <w:rFonts w:ascii="Tahoma" w:hAnsi="Tahoma" w:cs="Tahoma"/>
          <w:sz w:val="20"/>
          <w:szCs w:val="20"/>
        </w:rPr>
      </w:pPr>
      <w:r w:rsidRPr="00F07A7F">
        <w:rPr>
          <w:rFonts w:ascii="Tahoma" w:hAnsi="Tahoma" w:cs="Tahoma"/>
          <w:sz w:val="20"/>
          <w:szCs w:val="20"/>
        </w:rPr>
        <w:t>En ese sentido cabe indicar que en el Capítulo III de las Bases Integradas del proceso de selección mencionado anteriormente se encuentran las Especificaciones Técnicas y los Requerimientos Técnicos Mínimos, que tal como lo establece el artículo 36 del Reglamento, todo proveedor puede tener acceso, sin restricciones ni pago de derechos a través del SEACE. Las Especificaciones Técnicas eran las siguientes:</w:t>
      </w:r>
    </w:p>
    <w:p w:rsidR="004F26BC" w:rsidRPr="00F07A7F" w:rsidRDefault="004F26BC" w:rsidP="004F26BC">
      <w:pPr>
        <w:pStyle w:val="Prrafodelista"/>
        <w:rPr>
          <w:rFonts w:ascii="Tahoma" w:hAnsi="Tahoma" w:cs="Tahoma"/>
          <w:sz w:val="20"/>
        </w:rPr>
      </w:pPr>
    </w:p>
    <w:p w:rsidR="004F26BC" w:rsidRPr="00F07A7F" w:rsidRDefault="004F26BC" w:rsidP="004F26BC">
      <w:pPr>
        <w:pStyle w:val="Textoindependiente"/>
        <w:widowControl w:val="0"/>
        <w:tabs>
          <w:tab w:val="left" w:pos="2410"/>
        </w:tabs>
        <w:suppressAutoHyphens/>
        <w:spacing w:after="0"/>
        <w:ind w:left="567"/>
        <w:jc w:val="both"/>
        <w:rPr>
          <w:rFonts w:ascii="Tahoma" w:hAnsi="Tahoma" w:cs="Tahoma"/>
          <w:b/>
          <w:i/>
          <w:sz w:val="20"/>
          <w:szCs w:val="20"/>
        </w:rPr>
      </w:pPr>
      <w:r w:rsidRPr="00F07A7F">
        <w:rPr>
          <w:rFonts w:ascii="Tahoma" w:hAnsi="Tahoma" w:cs="Tahoma"/>
          <w:b/>
          <w:i/>
          <w:sz w:val="20"/>
          <w:szCs w:val="20"/>
        </w:rPr>
        <w:t>NOMENCLATURA</w:t>
      </w:r>
    </w:p>
    <w:p w:rsidR="004F26BC" w:rsidRPr="00F07A7F" w:rsidRDefault="004F26BC" w:rsidP="004F26BC">
      <w:pPr>
        <w:pStyle w:val="Prrafodelista"/>
        <w:rPr>
          <w:rFonts w:ascii="Tahoma" w:hAnsi="Tahoma" w:cs="Tahoma"/>
          <w:b/>
          <w:i/>
          <w:sz w:val="20"/>
        </w:rPr>
      </w:pPr>
    </w:p>
    <w:p w:rsidR="004F26BC" w:rsidRPr="00F07A7F" w:rsidRDefault="004F26BC" w:rsidP="004F26BC">
      <w:pPr>
        <w:pStyle w:val="Textoindependiente"/>
        <w:widowControl w:val="0"/>
        <w:tabs>
          <w:tab w:val="left" w:pos="2410"/>
        </w:tabs>
        <w:suppressAutoHyphens/>
        <w:spacing w:after="0"/>
        <w:ind w:left="567"/>
        <w:jc w:val="both"/>
        <w:rPr>
          <w:rFonts w:ascii="Tahoma" w:hAnsi="Tahoma" w:cs="Tahoma"/>
          <w:b/>
          <w:i/>
          <w:sz w:val="20"/>
          <w:szCs w:val="20"/>
        </w:rPr>
      </w:pPr>
      <w:r w:rsidRPr="00F07A7F">
        <w:rPr>
          <w:rFonts w:ascii="Tahoma" w:hAnsi="Tahoma" w:cs="Tahoma"/>
          <w:b/>
          <w:i/>
          <w:sz w:val="20"/>
          <w:szCs w:val="20"/>
        </w:rPr>
        <w:t>ELECTROBOMBA 15 HP</w:t>
      </w:r>
    </w:p>
    <w:p w:rsidR="004F26BC" w:rsidRPr="00F07A7F" w:rsidRDefault="004F26BC" w:rsidP="004F26BC">
      <w:pPr>
        <w:pStyle w:val="Prrafodelista"/>
        <w:rPr>
          <w:rFonts w:ascii="Tahoma" w:hAnsi="Tahoma" w:cs="Tahoma"/>
          <w:b/>
          <w:i/>
          <w:sz w:val="20"/>
        </w:rPr>
      </w:pPr>
    </w:p>
    <w:p w:rsidR="004F26BC" w:rsidRPr="00F07A7F" w:rsidRDefault="004F26BC" w:rsidP="004F26BC">
      <w:pPr>
        <w:pStyle w:val="Textoindependiente"/>
        <w:widowControl w:val="0"/>
        <w:tabs>
          <w:tab w:val="left" w:pos="2410"/>
        </w:tabs>
        <w:suppressAutoHyphens/>
        <w:spacing w:after="0"/>
        <w:ind w:left="567"/>
        <w:jc w:val="both"/>
        <w:rPr>
          <w:rFonts w:ascii="Tahoma" w:hAnsi="Tahoma" w:cs="Tahoma"/>
          <w:b/>
          <w:i/>
          <w:sz w:val="20"/>
          <w:szCs w:val="20"/>
        </w:rPr>
      </w:pPr>
      <w:r w:rsidRPr="00F07A7F">
        <w:rPr>
          <w:rFonts w:ascii="Tahoma" w:hAnsi="Tahoma" w:cs="Tahoma"/>
          <w:b/>
          <w:i/>
          <w:sz w:val="20"/>
          <w:szCs w:val="20"/>
        </w:rPr>
        <w:t>Potencia 15 HP a 1725 RPM, 220 V, 60 HZ, Motor Trifásico, Rotativa de Paletas modelo YB-80, Desarrollo del Equipo 170GPM; Velocidad de giro mediante poleas, fajas, entrada y salida 3, velocidad de operación 400 RPM, con un (01) colador de línea en “Y”, de aluminio, Morrison modelo 285AL, entrada 3, con canastilla, blindada a pruebas de explosión (chispas), Material fierro fundido con válvula de alivio interno, sellos mecánicos interiores. Garantía Comercial Doce (12) meses.</w:t>
      </w:r>
    </w:p>
    <w:p w:rsidR="004F26BC" w:rsidRPr="00F07A7F" w:rsidRDefault="004F26BC" w:rsidP="004F26BC">
      <w:pPr>
        <w:rPr>
          <w:rFonts w:ascii="Tahoma" w:hAnsi="Tahoma" w:cs="Tahoma"/>
          <w:sz w:val="20"/>
          <w:szCs w:val="20"/>
        </w:rPr>
      </w:pPr>
    </w:p>
    <w:p w:rsidR="004F26BC" w:rsidRPr="00F07A7F" w:rsidRDefault="004F26BC" w:rsidP="004F26BC">
      <w:pPr>
        <w:pStyle w:val="Textoindependiente"/>
        <w:widowControl w:val="0"/>
        <w:tabs>
          <w:tab w:val="left" w:pos="2410"/>
        </w:tabs>
        <w:suppressAutoHyphens/>
        <w:spacing w:after="0"/>
        <w:ind w:left="567"/>
        <w:jc w:val="both"/>
        <w:rPr>
          <w:rFonts w:ascii="Tahoma" w:hAnsi="Tahoma" w:cs="Tahoma"/>
          <w:sz w:val="20"/>
          <w:szCs w:val="20"/>
        </w:rPr>
      </w:pPr>
      <w:r w:rsidRPr="00F07A7F">
        <w:rPr>
          <w:rFonts w:ascii="Tahoma" w:hAnsi="Tahoma" w:cs="Tahoma"/>
          <w:sz w:val="20"/>
          <w:szCs w:val="20"/>
        </w:rPr>
        <w:t>La Propuesta Técnica que la Contratista presentó incluía lo siguiente:</w:t>
      </w:r>
    </w:p>
    <w:p w:rsidR="004F26BC" w:rsidRPr="00F07A7F" w:rsidRDefault="004F26BC" w:rsidP="004F26BC">
      <w:pPr>
        <w:pStyle w:val="Textoindependiente"/>
        <w:widowControl w:val="0"/>
        <w:tabs>
          <w:tab w:val="left" w:pos="2410"/>
        </w:tabs>
        <w:suppressAutoHyphens/>
        <w:spacing w:after="0"/>
        <w:ind w:left="567"/>
        <w:jc w:val="both"/>
        <w:rPr>
          <w:rFonts w:ascii="Tahoma" w:hAnsi="Tahoma" w:cs="Tahoma"/>
          <w:sz w:val="20"/>
          <w:szCs w:val="20"/>
        </w:rPr>
      </w:pPr>
    </w:p>
    <w:p w:rsidR="004F26BC" w:rsidRPr="00F07A7F" w:rsidRDefault="004F26BC" w:rsidP="004F26BC">
      <w:pPr>
        <w:pStyle w:val="Textoindependiente"/>
        <w:widowControl w:val="0"/>
        <w:tabs>
          <w:tab w:val="left" w:pos="2410"/>
        </w:tabs>
        <w:suppressAutoHyphens/>
        <w:spacing w:after="0"/>
        <w:ind w:left="567"/>
        <w:jc w:val="both"/>
        <w:rPr>
          <w:rFonts w:ascii="Tahoma" w:hAnsi="Tahoma" w:cs="Tahoma"/>
          <w:b/>
          <w:i/>
          <w:sz w:val="20"/>
          <w:szCs w:val="20"/>
        </w:rPr>
      </w:pPr>
      <w:r w:rsidRPr="00F07A7F">
        <w:rPr>
          <w:rFonts w:ascii="Tahoma" w:hAnsi="Tahoma" w:cs="Tahoma"/>
          <w:b/>
          <w:i/>
          <w:sz w:val="20"/>
          <w:szCs w:val="20"/>
        </w:rPr>
        <w:t>NOMENCLATURA</w:t>
      </w:r>
    </w:p>
    <w:p w:rsidR="004F26BC" w:rsidRPr="00F07A7F" w:rsidRDefault="004F26BC" w:rsidP="004F26BC">
      <w:pPr>
        <w:pStyle w:val="Textoindependiente"/>
        <w:widowControl w:val="0"/>
        <w:tabs>
          <w:tab w:val="left" w:pos="2410"/>
        </w:tabs>
        <w:suppressAutoHyphens/>
        <w:spacing w:after="0"/>
        <w:ind w:left="567"/>
        <w:jc w:val="both"/>
        <w:rPr>
          <w:rFonts w:ascii="Tahoma" w:hAnsi="Tahoma" w:cs="Tahoma"/>
          <w:b/>
          <w:i/>
          <w:sz w:val="20"/>
          <w:szCs w:val="20"/>
        </w:rPr>
      </w:pPr>
    </w:p>
    <w:p w:rsidR="004F26BC" w:rsidRPr="00F07A7F" w:rsidRDefault="004F26BC" w:rsidP="004F26BC">
      <w:pPr>
        <w:pStyle w:val="Textoindependiente"/>
        <w:widowControl w:val="0"/>
        <w:tabs>
          <w:tab w:val="left" w:pos="2410"/>
        </w:tabs>
        <w:suppressAutoHyphens/>
        <w:spacing w:after="0"/>
        <w:ind w:left="567"/>
        <w:jc w:val="both"/>
        <w:rPr>
          <w:rFonts w:ascii="Tahoma" w:hAnsi="Tahoma" w:cs="Tahoma"/>
          <w:b/>
          <w:i/>
          <w:sz w:val="20"/>
          <w:szCs w:val="20"/>
        </w:rPr>
      </w:pPr>
      <w:r w:rsidRPr="00F07A7F">
        <w:rPr>
          <w:rFonts w:ascii="Tahoma" w:hAnsi="Tahoma" w:cs="Tahoma"/>
          <w:b/>
          <w:i/>
          <w:sz w:val="20"/>
          <w:szCs w:val="20"/>
        </w:rPr>
        <w:t>ELECTROBOMBA 15 HP</w:t>
      </w:r>
    </w:p>
    <w:p w:rsidR="004F26BC" w:rsidRPr="00F07A7F" w:rsidRDefault="004F26BC" w:rsidP="004F26BC">
      <w:pPr>
        <w:pStyle w:val="Textoindependiente"/>
        <w:widowControl w:val="0"/>
        <w:tabs>
          <w:tab w:val="left" w:pos="2410"/>
        </w:tabs>
        <w:suppressAutoHyphens/>
        <w:spacing w:after="0"/>
        <w:ind w:left="567"/>
        <w:jc w:val="both"/>
        <w:rPr>
          <w:rFonts w:ascii="Tahoma" w:hAnsi="Tahoma" w:cs="Tahoma"/>
          <w:b/>
          <w:i/>
          <w:sz w:val="20"/>
          <w:szCs w:val="20"/>
        </w:rPr>
      </w:pPr>
    </w:p>
    <w:p w:rsidR="004F26BC" w:rsidRPr="00F07A7F" w:rsidRDefault="004F26BC" w:rsidP="004F26BC">
      <w:pPr>
        <w:pStyle w:val="Textoindependiente"/>
        <w:widowControl w:val="0"/>
        <w:tabs>
          <w:tab w:val="left" w:pos="2410"/>
        </w:tabs>
        <w:suppressAutoHyphens/>
        <w:spacing w:after="0"/>
        <w:ind w:left="567"/>
        <w:jc w:val="both"/>
        <w:rPr>
          <w:rFonts w:ascii="Tahoma" w:hAnsi="Tahoma" w:cs="Tahoma"/>
          <w:b/>
          <w:i/>
          <w:sz w:val="20"/>
          <w:szCs w:val="20"/>
        </w:rPr>
      </w:pPr>
      <w:r w:rsidRPr="00F07A7F">
        <w:rPr>
          <w:rFonts w:ascii="Tahoma" w:hAnsi="Tahoma" w:cs="Tahoma"/>
          <w:b/>
          <w:i/>
          <w:sz w:val="20"/>
          <w:szCs w:val="20"/>
        </w:rPr>
        <w:t>Potencia 15 HP a 1725 RPM, 220 V, 60 HZ, Motor Trifásico, Rotativa de Paletas, Desarrollo del Equipo 170 GPM; Velocidad de giro mediante poleas, fajas, entrada y salida 3, velocidad de operación 400 RPM, con un (01) colador de línea en “Y”, de aluminio, entrada 3, con canastilla, blindada a pruebas de explosión (chispas), Material fierro fundido con válvula de alivio interno, sellos mecánicos interiores. Garantía Comercial Doce (12) meses.</w:t>
      </w:r>
    </w:p>
    <w:p w:rsidR="004F26BC" w:rsidRPr="00F07A7F" w:rsidRDefault="004F26BC" w:rsidP="004F26BC">
      <w:pPr>
        <w:pStyle w:val="Textoindependiente"/>
        <w:widowControl w:val="0"/>
        <w:tabs>
          <w:tab w:val="left" w:pos="2410"/>
        </w:tabs>
        <w:suppressAutoHyphens/>
        <w:spacing w:after="0"/>
        <w:ind w:left="567"/>
        <w:jc w:val="both"/>
        <w:rPr>
          <w:rFonts w:ascii="Tahoma" w:hAnsi="Tahoma" w:cs="Tahoma"/>
          <w:sz w:val="20"/>
          <w:szCs w:val="20"/>
        </w:rPr>
      </w:pPr>
    </w:p>
    <w:p w:rsidR="004F26BC" w:rsidRPr="00F07A7F" w:rsidRDefault="004F26BC" w:rsidP="0004428E">
      <w:pPr>
        <w:pStyle w:val="Textoindependiente"/>
        <w:widowControl w:val="0"/>
        <w:numPr>
          <w:ilvl w:val="0"/>
          <w:numId w:val="2"/>
        </w:numPr>
        <w:tabs>
          <w:tab w:val="clear" w:pos="340"/>
          <w:tab w:val="num" w:pos="567"/>
          <w:tab w:val="left" w:pos="2410"/>
        </w:tabs>
        <w:suppressAutoHyphens/>
        <w:spacing w:after="0"/>
        <w:ind w:left="567" w:hanging="567"/>
        <w:jc w:val="both"/>
        <w:rPr>
          <w:rFonts w:ascii="Tahoma" w:hAnsi="Tahoma" w:cs="Tahoma"/>
          <w:sz w:val="20"/>
          <w:szCs w:val="20"/>
        </w:rPr>
      </w:pPr>
      <w:r w:rsidRPr="00F07A7F">
        <w:rPr>
          <w:rFonts w:ascii="Tahoma" w:hAnsi="Tahoma" w:cs="Tahoma"/>
          <w:sz w:val="20"/>
          <w:szCs w:val="20"/>
        </w:rPr>
        <w:t xml:space="preserve">Por lo expuesto se puede apreciar que la Contratista conocía el requerimiento preciso de la Entidad, a través de las Especificaciones Técnicas que ella misma ofertó. Por lo tanto, atendiendo a que dentro del expediente no existe medio probatorio que justifique el incumplimiento de las obligaciones a cargo de la Contratista, y no habiendo formulado sus descargos; este Tribunal considera que </w:t>
      </w:r>
      <w:r w:rsidR="0004428E" w:rsidRPr="00F07A7F">
        <w:rPr>
          <w:rFonts w:ascii="Tahoma" w:hAnsi="Tahoma" w:cs="Tahoma"/>
          <w:sz w:val="20"/>
          <w:szCs w:val="20"/>
        </w:rPr>
        <w:t xml:space="preserve">el incumplimiento del contrato de parte de la Contratista </w:t>
      </w:r>
      <w:r w:rsidRPr="00F07A7F">
        <w:rPr>
          <w:rFonts w:ascii="Tahoma" w:hAnsi="Tahoma" w:cs="Tahoma"/>
          <w:sz w:val="20"/>
          <w:szCs w:val="20"/>
        </w:rPr>
        <w:t xml:space="preserve">es injustificado y que corresponde imponerle sanción administrativa por haber incurrido en la causal prevista en el </w:t>
      </w:r>
      <w:r w:rsidRPr="00F07A7F">
        <w:rPr>
          <w:rFonts w:ascii="Tahoma" w:eastAsia="MS Mincho" w:hAnsi="Tahoma" w:cs="Tahoma"/>
          <w:sz w:val="20"/>
          <w:szCs w:val="20"/>
        </w:rPr>
        <w:t>literal b) del numeral 51.1 del artículo 51º de la Ley y el literal b) del numeral 1) del artículo 237º del Reglamento</w:t>
      </w:r>
      <w:r w:rsidRPr="00F07A7F">
        <w:rPr>
          <w:rFonts w:ascii="Tahoma" w:hAnsi="Tahoma" w:cs="Tahoma"/>
          <w:sz w:val="20"/>
          <w:szCs w:val="20"/>
        </w:rPr>
        <w:t xml:space="preserve">. </w:t>
      </w:r>
    </w:p>
    <w:p w:rsidR="004F26BC" w:rsidRPr="00F07A7F" w:rsidRDefault="004F26BC" w:rsidP="004F26BC">
      <w:pPr>
        <w:pStyle w:val="Textoindependiente"/>
        <w:widowControl w:val="0"/>
        <w:tabs>
          <w:tab w:val="left" w:pos="2410"/>
        </w:tabs>
        <w:suppressAutoHyphens/>
        <w:spacing w:after="0"/>
        <w:ind w:left="567"/>
        <w:jc w:val="both"/>
        <w:rPr>
          <w:rFonts w:ascii="Tahoma" w:hAnsi="Tahoma" w:cs="Tahoma"/>
          <w:sz w:val="20"/>
          <w:szCs w:val="20"/>
        </w:rPr>
      </w:pPr>
    </w:p>
    <w:p w:rsidR="004F26BC" w:rsidRPr="00F07A7F" w:rsidRDefault="004F26BC" w:rsidP="004F26BC">
      <w:pPr>
        <w:pStyle w:val="Textoindependiente"/>
        <w:widowControl w:val="0"/>
        <w:numPr>
          <w:ilvl w:val="0"/>
          <w:numId w:val="2"/>
        </w:numPr>
        <w:tabs>
          <w:tab w:val="clear" w:pos="340"/>
          <w:tab w:val="num" w:pos="567"/>
          <w:tab w:val="left" w:pos="2410"/>
        </w:tabs>
        <w:suppressAutoHyphens/>
        <w:spacing w:after="0"/>
        <w:ind w:left="567" w:hanging="567"/>
        <w:jc w:val="both"/>
        <w:rPr>
          <w:rFonts w:ascii="Tahoma" w:hAnsi="Tahoma" w:cs="Tahoma"/>
          <w:sz w:val="20"/>
          <w:szCs w:val="20"/>
        </w:rPr>
      </w:pPr>
      <w:r w:rsidRPr="00F07A7F">
        <w:rPr>
          <w:rFonts w:ascii="Tahoma" w:hAnsi="Tahoma" w:cs="Tahoma"/>
          <w:sz w:val="20"/>
          <w:szCs w:val="20"/>
        </w:rPr>
        <w:t>En tal sentido, en el presente caso la sanción se aplicará de conformidad a lo señalado en los referidos artículos</w:t>
      </w:r>
      <w:r w:rsidRPr="00F07A7F">
        <w:rPr>
          <w:rFonts w:ascii="Tahoma" w:eastAsia="MS Mincho" w:hAnsi="Tahoma" w:cs="Tahoma"/>
          <w:sz w:val="20"/>
          <w:szCs w:val="20"/>
        </w:rPr>
        <w:t xml:space="preserve">, los mismos que </w:t>
      </w:r>
      <w:r w:rsidRPr="00F07A7F">
        <w:rPr>
          <w:rFonts w:ascii="Tahoma" w:hAnsi="Tahoma" w:cs="Tahoma"/>
          <w:sz w:val="20"/>
          <w:szCs w:val="20"/>
        </w:rPr>
        <w:t xml:space="preserve">establecen que los proveedores, participantes, </w:t>
      </w:r>
      <w:r w:rsidRPr="00F07A7F">
        <w:rPr>
          <w:rFonts w:ascii="Tahoma" w:hAnsi="Tahoma" w:cs="Tahoma"/>
          <w:sz w:val="20"/>
          <w:szCs w:val="20"/>
        </w:rPr>
        <w:lastRenderedPageBreak/>
        <w:t xml:space="preserve">postores o contratistas que incurran en las causales establecidas en los literales a), b), c), d) e), f) h), i), j y k) serán sancionados con inhabilitación temporal para contratar con el Estado por un período no menor a un (1) año ni mayor a tres (3) años. </w:t>
      </w:r>
    </w:p>
    <w:p w:rsidR="004F26BC" w:rsidRPr="00F07A7F" w:rsidRDefault="004F26BC" w:rsidP="004F26BC">
      <w:pPr>
        <w:pStyle w:val="Prrafodelista"/>
        <w:rPr>
          <w:rFonts w:ascii="Tahoma" w:hAnsi="Tahoma" w:cs="Tahoma"/>
          <w:sz w:val="20"/>
        </w:rPr>
      </w:pPr>
    </w:p>
    <w:p w:rsidR="004F26BC" w:rsidRPr="00F07A7F" w:rsidRDefault="004F26BC" w:rsidP="004F26BC">
      <w:pPr>
        <w:pStyle w:val="Textoindependiente"/>
        <w:widowControl w:val="0"/>
        <w:numPr>
          <w:ilvl w:val="0"/>
          <w:numId w:val="2"/>
        </w:numPr>
        <w:tabs>
          <w:tab w:val="clear" w:pos="340"/>
          <w:tab w:val="num" w:pos="567"/>
          <w:tab w:val="left" w:pos="2410"/>
        </w:tabs>
        <w:suppressAutoHyphens/>
        <w:spacing w:after="0"/>
        <w:ind w:left="567" w:hanging="567"/>
        <w:jc w:val="both"/>
        <w:rPr>
          <w:rFonts w:ascii="Tahoma" w:hAnsi="Tahoma" w:cs="Tahoma"/>
          <w:sz w:val="20"/>
          <w:szCs w:val="20"/>
        </w:rPr>
      </w:pPr>
      <w:r w:rsidRPr="00F07A7F">
        <w:rPr>
          <w:rFonts w:ascii="Tahoma" w:hAnsi="Tahoma" w:cs="Tahoma"/>
          <w:sz w:val="20"/>
          <w:szCs w:val="20"/>
        </w:rPr>
        <w:t xml:space="preserve">Asimismo, la sanción que se impondrá deberá ser graduada dentro de los límites dispuestos en dichos artículos, para lo cual deberá tenerse en cuenta lo dispuesto por el artículo 245º del Reglamento. Sobre el particular, resulta importante traer a colación el Principio de Razonabilidad consagrado en el numeral 3) del artículo 230º de la Ley del Procedimiento Administrativo General, </w:t>
      </w:r>
      <w:r w:rsidRPr="00F07A7F">
        <w:rPr>
          <w:rFonts w:ascii="Tahoma" w:eastAsia="Calibri" w:hAnsi="Tahoma" w:cs="Tahoma"/>
          <w:sz w:val="20"/>
          <w:szCs w:val="20"/>
          <w:lang w:eastAsia="en-US"/>
        </w:rPr>
        <w:t xml:space="preserve">modificado por Decreto Legislativo Nº 1029 del 24 de junio de 2008, por medio del cual las autoridades deben prever que la comisión de la conducta sancionable no resulte más ventajosa para el infractor que cumplir las normas infringidas o asumir la sanción. Sin embargo, las sanciones a ser aplicadas deberán ser proporcionales al incumplimiento calificado como infracción. Es </w:t>
      </w:r>
      <w:r w:rsidR="001902AD" w:rsidRPr="00F07A7F">
        <w:rPr>
          <w:rFonts w:ascii="Tahoma" w:eastAsia="Calibri" w:hAnsi="Tahoma" w:cs="Tahoma"/>
          <w:sz w:val="20"/>
          <w:szCs w:val="20"/>
          <w:lang w:eastAsia="en-US"/>
        </w:rPr>
        <w:t>así</w:t>
      </w:r>
      <w:r w:rsidRPr="00F07A7F">
        <w:rPr>
          <w:rFonts w:ascii="Tahoma" w:eastAsia="Calibri" w:hAnsi="Tahoma" w:cs="Tahoma"/>
          <w:sz w:val="20"/>
          <w:szCs w:val="20"/>
          <w:lang w:eastAsia="en-US"/>
        </w:rPr>
        <w:t xml:space="preserve"> que al graduarse la sanción a imponerse se debe observar los siguientes criterios: la naturaleza de la infracción, el daño causado, la reiterancia, la conducta procesal del infractor, entre otros.</w:t>
      </w:r>
    </w:p>
    <w:p w:rsidR="004F26BC" w:rsidRPr="00F07A7F" w:rsidRDefault="004F26BC" w:rsidP="004F26BC">
      <w:pPr>
        <w:pStyle w:val="Prrafodelista"/>
        <w:rPr>
          <w:rFonts w:ascii="Tahoma" w:hAnsi="Tahoma" w:cs="Tahoma"/>
          <w:sz w:val="20"/>
        </w:rPr>
      </w:pPr>
    </w:p>
    <w:p w:rsidR="004F26BC" w:rsidRPr="00F07A7F" w:rsidRDefault="004F26BC" w:rsidP="004F26BC">
      <w:pPr>
        <w:pStyle w:val="Textoindependiente"/>
        <w:widowControl w:val="0"/>
        <w:numPr>
          <w:ilvl w:val="0"/>
          <w:numId w:val="2"/>
        </w:numPr>
        <w:tabs>
          <w:tab w:val="clear" w:pos="340"/>
          <w:tab w:val="num" w:pos="567"/>
          <w:tab w:val="left" w:pos="2410"/>
        </w:tabs>
        <w:suppressAutoHyphens/>
        <w:spacing w:after="0"/>
        <w:ind w:left="567" w:hanging="567"/>
        <w:jc w:val="both"/>
        <w:rPr>
          <w:rFonts w:ascii="Tahoma" w:hAnsi="Tahoma" w:cs="Tahoma"/>
          <w:sz w:val="20"/>
          <w:szCs w:val="20"/>
        </w:rPr>
      </w:pPr>
      <w:r w:rsidRPr="00F07A7F">
        <w:rPr>
          <w:rFonts w:ascii="Tahoma" w:hAnsi="Tahoma" w:cs="Tahoma"/>
          <w:sz w:val="20"/>
          <w:szCs w:val="20"/>
        </w:rPr>
        <w:t>Atendiendo a lo señalado anteriormente, en lo que concierne a la naturaleza de la infracción, es importante señalar que la conducta denunciada reviste una considerable gravedad en la medida que desde el momento que la Contratista asumió un compromiso contractual frente a la Entidad, se encontraba llamado a cumplir cabalmente lo ofrecido, máxime si es conocido que ante un eventual incumplimiento, se verían seriamente afectados intereses de carácter público así como ha retrasado el cumplimiento de las metas institucionales de la Entidad.</w:t>
      </w:r>
    </w:p>
    <w:p w:rsidR="004F26BC" w:rsidRPr="00F07A7F" w:rsidRDefault="004F26BC" w:rsidP="004F26BC">
      <w:pPr>
        <w:pStyle w:val="Prrafodelista"/>
        <w:rPr>
          <w:rFonts w:ascii="Tahoma" w:hAnsi="Tahoma" w:cs="Tahoma"/>
          <w:color w:val="000000" w:themeColor="text1"/>
          <w:sz w:val="20"/>
        </w:rPr>
      </w:pPr>
    </w:p>
    <w:p w:rsidR="004F26BC" w:rsidRPr="00F07A7F" w:rsidRDefault="004F26BC" w:rsidP="004F26BC">
      <w:pPr>
        <w:pStyle w:val="Textoindependiente"/>
        <w:widowControl w:val="0"/>
        <w:numPr>
          <w:ilvl w:val="0"/>
          <w:numId w:val="2"/>
        </w:numPr>
        <w:tabs>
          <w:tab w:val="clear" w:pos="340"/>
          <w:tab w:val="num" w:pos="567"/>
          <w:tab w:val="left" w:pos="2410"/>
        </w:tabs>
        <w:suppressAutoHyphens/>
        <w:spacing w:after="0"/>
        <w:ind w:left="567" w:hanging="567"/>
        <w:jc w:val="both"/>
        <w:rPr>
          <w:rFonts w:ascii="Tahoma" w:hAnsi="Tahoma" w:cs="Tahoma"/>
          <w:sz w:val="20"/>
          <w:szCs w:val="20"/>
        </w:rPr>
      </w:pPr>
      <w:r w:rsidRPr="00F07A7F">
        <w:rPr>
          <w:rFonts w:ascii="Tahoma" w:hAnsi="Tahoma" w:cs="Tahoma"/>
          <w:color w:val="000000" w:themeColor="text1"/>
          <w:sz w:val="20"/>
          <w:szCs w:val="20"/>
        </w:rPr>
        <w:t>Ahora bien, respecto del daño causado debe tenerse en cuenta que la Contratista obtuvo la buena pro del proceso de selección, y luego incumplió con el objeto del contrato respectivo, situación que originó retraso en la adquisición del bien requerido por la Entidad, constituyendo ello un daño directo que la perjudicó, ya que dilató innecesariamente la atención a sus necesidades.</w:t>
      </w:r>
    </w:p>
    <w:p w:rsidR="004F26BC" w:rsidRPr="00F07A7F" w:rsidRDefault="004F26BC" w:rsidP="004F26BC">
      <w:pPr>
        <w:pStyle w:val="Prrafodelista"/>
        <w:rPr>
          <w:rFonts w:ascii="Tahoma" w:hAnsi="Tahoma" w:cs="Tahoma"/>
          <w:color w:val="000000" w:themeColor="text1"/>
          <w:sz w:val="20"/>
        </w:rPr>
      </w:pPr>
    </w:p>
    <w:p w:rsidR="004F26BC" w:rsidRPr="00F07A7F" w:rsidRDefault="004F26BC" w:rsidP="004F26BC">
      <w:pPr>
        <w:pStyle w:val="Textoindependiente"/>
        <w:widowControl w:val="0"/>
        <w:numPr>
          <w:ilvl w:val="0"/>
          <w:numId w:val="2"/>
        </w:numPr>
        <w:tabs>
          <w:tab w:val="clear" w:pos="340"/>
          <w:tab w:val="num" w:pos="567"/>
          <w:tab w:val="left" w:pos="2410"/>
        </w:tabs>
        <w:suppressAutoHyphens/>
        <w:spacing w:after="0"/>
        <w:ind w:left="567" w:hanging="567"/>
        <w:jc w:val="both"/>
        <w:rPr>
          <w:rFonts w:ascii="Tahoma" w:hAnsi="Tahoma" w:cs="Tahoma"/>
          <w:sz w:val="20"/>
          <w:szCs w:val="20"/>
        </w:rPr>
      </w:pPr>
      <w:r w:rsidRPr="00F07A7F">
        <w:rPr>
          <w:rFonts w:ascii="Tahoma" w:hAnsi="Tahoma" w:cs="Tahoma"/>
          <w:color w:val="000000" w:themeColor="text1"/>
          <w:sz w:val="20"/>
          <w:szCs w:val="20"/>
        </w:rPr>
        <w:t>En ese orden de ideas y respecto a la reiterancia, se advierte que la Contratista no se encuentra inhabilitado para participar en procesos de selección y contratar con el Estado.</w:t>
      </w:r>
    </w:p>
    <w:p w:rsidR="004F26BC" w:rsidRPr="00F07A7F" w:rsidRDefault="004F26BC" w:rsidP="004F26BC">
      <w:pPr>
        <w:pStyle w:val="Prrafodelista"/>
        <w:rPr>
          <w:rFonts w:ascii="Tahoma" w:hAnsi="Tahoma" w:cs="Tahoma"/>
          <w:sz w:val="20"/>
        </w:rPr>
      </w:pPr>
    </w:p>
    <w:p w:rsidR="004F26BC" w:rsidRPr="00F07A7F" w:rsidRDefault="004F26BC" w:rsidP="004F26BC">
      <w:pPr>
        <w:pStyle w:val="Textoindependiente"/>
        <w:widowControl w:val="0"/>
        <w:numPr>
          <w:ilvl w:val="0"/>
          <w:numId w:val="2"/>
        </w:numPr>
        <w:tabs>
          <w:tab w:val="clear" w:pos="340"/>
          <w:tab w:val="num" w:pos="567"/>
          <w:tab w:val="left" w:pos="2410"/>
        </w:tabs>
        <w:suppressAutoHyphens/>
        <w:spacing w:after="0"/>
        <w:ind w:left="567" w:hanging="567"/>
        <w:jc w:val="both"/>
        <w:rPr>
          <w:rFonts w:ascii="Tahoma" w:hAnsi="Tahoma" w:cs="Tahoma"/>
          <w:sz w:val="20"/>
          <w:szCs w:val="20"/>
        </w:rPr>
      </w:pPr>
      <w:r w:rsidRPr="00F07A7F">
        <w:rPr>
          <w:rFonts w:ascii="Tahoma" w:hAnsi="Tahoma" w:cs="Tahoma"/>
          <w:sz w:val="20"/>
          <w:szCs w:val="20"/>
        </w:rPr>
        <w:t>Respecto de la conducta procesal, conviene precisar que durante la sustanciación del presente procedimiento administrativo sancionador, la Contratista no ha presentado los descargos dentro del plazo concedido, situación que se mantiene hasta la fecha de emisión de la presente resolución.</w:t>
      </w:r>
    </w:p>
    <w:p w:rsidR="004F26BC" w:rsidRPr="00F07A7F" w:rsidRDefault="004F26BC" w:rsidP="004F26BC">
      <w:pPr>
        <w:pStyle w:val="Prrafodelista"/>
        <w:rPr>
          <w:rFonts w:ascii="Tahoma" w:hAnsi="Tahoma" w:cs="Tahoma"/>
          <w:sz w:val="20"/>
        </w:rPr>
      </w:pPr>
    </w:p>
    <w:p w:rsidR="004F26BC" w:rsidRPr="00F07A7F" w:rsidRDefault="004F26BC" w:rsidP="004F26BC">
      <w:pPr>
        <w:pStyle w:val="Textoindependiente"/>
        <w:widowControl w:val="0"/>
        <w:numPr>
          <w:ilvl w:val="0"/>
          <w:numId w:val="2"/>
        </w:numPr>
        <w:tabs>
          <w:tab w:val="clear" w:pos="340"/>
          <w:tab w:val="num" w:pos="567"/>
          <w:tab w:val="left" w:pos="2410"/>
        </w:tabs>
        <w:suppressAutoHyphens/>
        <w:spacing w:after="0"/>
        <w:ind w:left="567" w:hanging="567"/>
        <w:jc w:val="both"/>
        <w:rPr>
          <w:rFonts w:ascii="Tahoma" w:hAnsi="Tahoma" w:cs="Tahoma"/>
          <w:sz w:val="20"/>
          <w:szCs w:val="20"/>
        </w:rPr>
      </w:pPr>
      <w:r w:rsidRPr="00F07A7F">
        <w:rPr>
          <w:rFonts w:ascii="Tahoma" w:hAnsi="Tahoma" w:cs="Tahoma"/>
          <w:sz w:val="20"/>
          <w:szCs w:val="20"/>
        </w:rPr>
        <w:t xml:space="preserve">Consecuentemente, en virtud de los hechos expuestos y </w:t>
      </w:r>
      <w:r w:rsidRPr="00F07A7F">
        <w:rPr>
          <w:rFonts w:ascii="Tahoma" w:hAnsi="Tahoma" w:cs="Tahoma"/>
          <w:snapToGrid w:val="0"/>
          <w:sz w:val="20"/>
          <w:szCs w:val="20"/>
        </w:rPr>
        <w:t xml:space="preserve">en base a los criterios antes indicados, </w:t>
      </w:r>
      <w:r w:rsidRPr="00F07A7F">
        <w:rPr>
          <w:rFonts w:ascii="Tahoma" w:hAnsi="Tahoma" w:cs="Tahoma"/>
          <w:sz w:val="20"/>
          <w:szCs w:val="20"/>
        </w:rPr>
        <w:t xml:space="preserve">corresponde imponerle a Wallace Import S.A.C., </w:t>
      </w:r>
      <w:r w:rsidRPr="00F07A7F">
        <w:rPr>
          <w:rFonts w:ascii="Tahoma" w:eastAsia="MS Mincho" w:hAnsi="Tahoma" w:cs="Tahoma"/>
          <w:sz w:val="20"/>
          <w:szCs w:val="20"/>
        </w:rPr>
        <w:t>la</w:t>
      </w:r>
      <w:r w:rsidRPr="00F07A7F">
        <w:rPr>
          <w:rFonts w:ascii="Tahoma" w:hAnsi="Tahoma" w:cs="Tahoma"/>
          <w:sz w:val="20"/>
          <w:szCs w:val="20"/>
        </w:rPr>
        <w:t xml:space="preserve"> sanción administrativa de inhabilitación temporal en sus derechos para participar en procesos de selección y/o contratar con el Estado, por el período de doce (12) meses.</w:t>
      </w:r>
    </w:p>
    <w:p w:rsidR="00D47997" w:rsidRPr="00F07A7F" w:rsidRDefault="00D47997" w:rsidP="00D47997">
      <w:pPr>
        <w:jc w:val="both"/>
        <w:rPr>
          <w:rFonts w:ascii="Tahoma" w:hAnsi="Tahoma" w:cs="Tahoma"/>
          <w:sz w:val="20"/>
          <w:szCs w:val="20"/>
        </w:rPr>
      </w:pPr>
    </w:p>
    <w:p w:rsidR="00D47997" w:rsidRPr="00F07A7F" w:rsidRDefault="00D47997" w:rsidP="00D47997">
      <w:pPr>
        <w:ind w:left="567"/>
        <w:jc w:val="both"/>
        <w:rPr>
          <w:rFonts w:ascii="Tahoma" w:eastAsia="Calibri" w:hAnsi="Tahoma" w:cs="Tahoma"/>
          <w:color w:val="000000"/>
          <w:sz w:val="20"/>
          <w:szCs w:val="20"/>
        </w:rPr>
      </w:pPr>
      <w:r w:rsidRPr="00F07A7F">
        <w:rPr>
          <w:rFonts w:ascii="Tahoma" w:eastAsia="Calibri" w:hAnsi="Tahoma" w:cs="Tahoma"/>
          <w:color w:val="000000"/>
          <w:sz w:val="20"/>
          <w:szCs w:val="20"/>
        </w:rPr>
        <w:t xml:space="preserve">Por estos fundamentos, de conformidad con el informe de la Vocal Ponente Dra. Ada Rosa Basulto Liewald y la intervención de los Señores Vocales Dra. Janette Elke Ramírez Maynetto y Dr. Carlos Fernando Fonseca Oliveira; atendiendo a la conformación de la Primera Sala del Tribunal de Contrataciones del Estado según lo dispuesto en la Resolución Nº 190-2010-OSCE/PRE de fecha 29 de marzo de 2010, en ejercicio de las facultades conferidas en el artículo 63º de la Ley de Contrataciones del Estado, aprobado por Decreto Legislativo Nº 1017, y su segunda disposición complementaria transitoria, así </w:t>
      </w:r>
      <w:r w:rsidRPr="00F07A7F">
        <w:rPr>
          <w:rFonts w:ascii="Tahoma" w:eastAsia="Calibri" w:hAnsi="Tahoma" w:cs="Tahoma"/>
          <w:color w:val="000000"/>
          <w:sz w:val="20"/>
          <w:szCs w:val="20"/>
        </w:rPr>
        <w:lastRenderedPageBreak/>
        <w:t>como los artículos 17º y 18º del Reglamento de Organización y Funciones del OSCE, aprobado por Decreto Supremo Nº 006-2009-EF; analizados los antecedentes y luego de agotado el debate correspondiente, por unanimidad</w:t>
      </w:r>
    </w:p>
    <w:p w:rsidR="00D47997" w:rsidRPr="00F07A7F" w:rsidRDefault="00D47997" w:rsidP="00D47997">
      <w:pPr>
        <w:ind w:firstLine="426"/>
        <w:jc w:val="both"/>
        <w:rPr>
          <w:rFonts w:ascii="Tahoma" w:hAnsi="Tahoma" w:cs="Tahoma"/>
          <w:sz w:val="20"/>
          <w:szCs w:val="20"/>
        </w:rPr>
      </w:pPr>
    </w:p>
    <w:p w:rsidR="00D47997" w:rsidRPr="00F07A7F" w:rsidRDefault="00D47997" w:rsidP="00D47997">
      <w:pPr>
        <w:ind w:firstLine="567"/>
        <w:jc w:val="both"/>
        <w:rPr>
          <w:rFonts w:ascii="Tahoma" w:hAnsi="Tahoma" w:cs="Tahoma"/>
          <w:b/>
          <w:sz w:val="20"/>
          <w:szCs w:val="20"/>
        </w:rPr>
      </w:pPr>
      <w:r w:rsidRPr="00F07A7F">
        <w:rPr>
          <w:rFonts w:ascii="Tahoma" w:hAnsi="Tahoma" w:cs="Tahoma"/>
          <w:b/>
          <w:sz w:val="20"/>
          <w:szCs w:val="20"/>
        </w:rPr>
        <w:t xml:space="preserve">LA SALA RESUELVE: </w:t>
      </w:r>
    </w:p>
    <w:p w:rsidR="00D47997" w:rsidRPr="00F07A7F" w:rsidRDefault="00D47997" w:rsidP="00D47997">
      <w:pPr>
        <w:jc w:val="both"/>
        <w:rPr>
          <w:rFonts w:ascii="Tahoma" w:hAnsi="Tahoma" w:cs="Tahoma"/>
          <w:snapToGrid w:val="0"/>
          <w:sz w:val="20"/>
          <w:szCs w:val="20"/>
        </w:rPr>
      </w:pPr>
    </w:p>
    <w:p w:rsidR="004F26BC" w:rsidRPr="00F07A7F" w:rsidRDefault="004F26BC" w:rsidP="004F26BC">
      <w:pPr>
        <w:widowControl w:val="0"/>
        <w:numPr>
          <w:ilvl w:val="0"/>
          <w:numId w:val="8"/>
        </w:numPr>
        <w:tabs>
          <w:tab w:val="left" w:pos="0"/>
        </w:tabs>
        <w:suppressAutoHyphens/>
        <w:ind w:left="567" w:hanging="426"/>
        <w:jc w:val="both"/>
        <w:rPr>
          <w:rFonts w:ascii="Tahoma" w:hAnsi="Tahoma" w:cs="Tahoma"/>
          <w:sz w:val="20"/>
          <w:szCs w:val="20"/>
        </w:rPr>
      </w:pPr>
      <w:r w:rsidRPr="00F07A7F">
        <w:rPr>
          <w:rFonts w:ascii="Tahoma" w:hAnsi="Tahoma" w:cs="Tahoma"/>
          <w:sz w:val="20"/>
          <w:szCs w:val="20"/>
        </w:rPr>
        <w:t xml:space="preserve">Imponer a </w:t>
      </w:r>
      <w:r w:rsidRPr="00F07A7F">
        <w:rPr>
          <w:rFonts w:ascii="Tahoma" w:hAnsi="Tahoma" w:cs="Tahoma"/>
          <w:b/>
          <w:sz w:val="20"/>
          <w:szCs w:val="20"/>
        </w:rPr>
        <w:t xml:space="preserve">WALLACE IMPORT S.A.C. </w:t>
      </w:r>
      <w:r w:rsidRPr="00F07A7F">
        <w:rPr>
          <w:rFonts w:ascii="Tahoma" w:hAnsi="Tahoma" w:cs="Tahoma"/>
          <w:sz w:val="20"/>
          <w:szCs w:val="20"/>
        </w:rPr>
        <w:t>sanción administrativa de inhabilitación temporal por el período de doce (12) meses en sus derechos de participar en procesos de selección y contratar con el Estado, la cual entrará en vigencia a partir del sexto día hábil siguiente de notificada la Resolución.</w:t>
      </w:r>
    </w:p>
    <w:p w:rsidR="004F26BC" w:rsidRPr="00F07A7F" w:rsidRDefault="004F26BC" w:rsidP="004F26BC">
      <w:pPr>
        <w:rPr>
          <w:rFonts w:ascii="Tahoma" w:hAnsi="Tahoma" w:cs="Tahoma"/>
          <w:sz w:val="20"/>
          <w:szCs w:val="20"/>
        </w:rPr>
      </w:pPr>
    </w:p>
    <w:p w:rsidR="004F26BC" w:rsidRPr="00F07A7F" w:rsidRDefault="004F26BC" w:rsidP="004F26BC">
      <w:pPr>
        <w:pStyle w:val="Prrafodelista"/>
        <w:numPr>
          <w:ilvl w:val="0"/>
          <w:numId w:val="8"/>
        </w:numPr>
        <w:ind w:left="567" w:hanging="426"/>
        <w:jc w:val="both"/>
        <w:rPr>
          <w:rFonts w:ascii="Tahoma" w:hAnsi="Tahoma" w:cs="Tahoma"/>
          <w:sz w:val="20"/>
        </w:rPr>
      </w:pPr>
      <w:r w:rsidRPr="00F07A7F">
        <w:rPr>
          <w:rFonts w:ascii="Tahoma" w:hAnsi="Tahoma" w:cs="Tahoma"/>
          <w:sz w:val="20"/>
        </w:rPr>
        <w:t xml:space="preserve">Comunicar la Resolución al Registro Nacional de Proveedores del Organismo Supervisor de las Contrataciones del Estado (OSCE). </w:t>
      </w:r>
    </w:p>
    <w:p w:rsidR="004F26BC" w:rsidRPr="00F07A7F" w:rsidRDefault="004F26BC" w:rsidP="004F26BC">
      <w:pPr>
        <w:tabs>
          <w:tab w:val="left" w:pos="180"/>
          <w:tab w:val="left" w:pos="540"/>
        </w:tabs>
        <w:jc w:val="both"/>
        <w:rPr>
          <w:rFonts w:ascii="Tahoma" w:hAnsi="Tahoma" w:cs="Tahoma"/>
          <w:sz w:val="20"/>
          <w:szCs w:val="20"/>
        </w:rPr>
      </w:pPr>
    </w:p>
    <w:p w:rsidR="00D47997" w:rsidRPr="00F07A7F" w:rsidRDefault="00D47997" w:rsidP="00D47997">
      <w:pPr>
        <w:pStyle w:val="Textoindependiente21"/>
        <w:ind w:firstLine="567"/>
        <w:rPr>
          <w:rFonts w:cs="Tahoma"/>
          <w:sz w:val="20"/>
        </w:rPr>
      </w:pPr>
      <w:r w:rsidRPr="00F07A7F">
        <w:rPr>
          <w:rFonts w:cs="Tahoma"/>
          <w:sz w:val="20"/>
        </w:rPr>
        <w:t>Regístrese, comuníquese y publíquese.</w:t>
      </w:r>
    </w:p>
    <w:p w:rsidR="00D47997" w:rsidRPr="00F07A7F" w:rsidRDefault="00D47997" w:rsidP="00D47997">
      <w:pPr>
        <w:jc w:val="center"/>
        <w:rPr>
          <w:rFonts w:ascii="Tahoma" w:hAnsi="Tahoma" w:cs="Tahoma"/>
          <w:b/>
          <w:sz w:val="20"/>
          <w:szCs w:val="20"/>
        </w:rPr>
      </w:pPr>
    </w:p>
    <w:p w:rsidR="00D47997" w:rsidRPr="00F07A7F" w:rsidRDefault="00D47997" w:rsidP="00D47997">
      <w:pPr>
        <w:jc w:val="center"/>
        <w:rPr>
          <w:rFonts w:ascii="Tahoma" w:hAnsi="Tahoma" w:cs="Tahoma"/>
          <w:b/>
          <w:sz w:val="20"/>
          <w:szCs w:val="20"/>
        </w:rPr>
      </w:pPr>
    </w:p>
    <w:p w:rsidR="00D47997" w:rsidRDefault="00D47997" w:rsidP="00D47997">
      <w:pPr>
        <w:jc w:val="center"/>
        <w:rPr>
          <w:rFonts w:ascii="Tahoma" w:hAnsi="Tahoma" w:cs="Tahoma"/>
          <w:b/>
          <w:sz w:val="20"/>
          <w:szCs w:val="20"/>
        </w:rPr>
      </w:pPr>
    </w:p>
    <w:p w:rsidR="00F07A7F" w:rsidRDefault="00F07A7F" w:rsidP="00D47997">
      <w:pPr>
        <w:jc w:val="center"/>
        <w:rPr>
          <w:rFonts w:ascii="Tahoma" w:hAnsi="Tahoma" w:cs="Tahoma"/>
          <w:b/>
          <w:sz w:val="20"/>
          <w:szCs w:val="20"/>
        </w:rPr>
      </w:pPr>
    </w:p>
    <w:p w:rsidR="00F07A7F" w:rsidRPr="00F07A7F" w:rsidRDefault="00F07A7F" w:rsidP="00D47997">
      <w:pPr>
        <w:jc w:val="center"/>
        <w:rPr>
          <w:rFonts w:ascii="Tahoma" w:hAnsi="Tahoma" w:cs="Tahoma"/>
          <w:b/>
          <w:sz w:val="20"/>
          <w:szCs w:val="20"/>
        </w:rPr>
      </w:pPr>
    </w:p>
    <w:p w:rsidR="00D47997" w:rsidRPr="00F07A7F" w:rsidRDefault="00D47997" w:rsidP="00D47997">
      <w:pPr>
        <w:jc w:val="center"/>
        <w:rPr>
          <w:rFonts w:ascii="Tahoma" w:hAnsi="Tahoma" w:cs="Tahoma"/>
          <w:b/>
          <w:sz w:val="20"/>
          <w:szCs w:val="20"/>
        </w:rPr>
      </w:pPr>
    </w:p>
    <w:p w:rsidR="00D47997" w:rsidRPr="00F07A7F" w:rsidRDefault="00D47997" w:rsidP="00F07A7F">
      <w:pPr>
        <w:rPr>
          <w:rFonts w:ascii="Tahoma" w:hAnsi="Tahoma" w:cs="Tahoma"/>
          <w:b/>
          <w:sz w:val="20"/>
          <w:szCs w:val="20"/>
        </w:rPr>
      </w:pPr>
    </w:p>
    <w:p w:rsidR="00D47997" w:rsidRPr="00F07A7F" w:rsidRDefault="00D47997" w:rsidP="00D47997">
      <w:pPr>
        <w:jc w:val="center"/>
        <w:rPr>
          <w:rFonts w:ascii="Tahoma" w:hAnsi="Tahoma" w:cs="Tahoma"/>
          <w:b/>
          <w:sz w:val="20"/>
          <w:szCs w:val="20"/>
        </w:rPr>
      </w:pPr>
    </w:p>
    <w:p w:rsidR="00D47997" w:rsidRPr="00F07A7F" w:rsidRDefault="00D47997" w:rsidP="00D47997">
      <w:pPr>
        <w:jc w:val="center"/>
        <w:rPr>
          <w:rFonts w:ascii="Tahoma" w:hAnsi="Tahoma" w:cs="Tahoma"/>
          <w:b/>
          <w:shadow/>
          <w:sz w:val="20"/>
          <w:szCs w:val="20"/>
          <w:lang w:val="pt-BR"/>
        </w:rPr>
      </w:pPr>
      <w:r w:rsidRPr="00F07A7F">
        <w:rPr>
          <w:rFonts w:ascii="Tahoma" w:hAnsi="Tahoma" w:cs="Tahoma"/>
          <w:b/>
          <w:shadow/>
          <w:sz w:val="20"/>
          <w:szCs w:val="20"/>
          <w:lang w:val="pt-BR"/>
        </w:rPr>
        <w:t>PRESIDENTE</w:t>
      </w:r>
    </w:p>
    <w:p w:rsidR="00D47997" w:rsidRPr="00F07A7F" w:rsidRDefault="00D47997" w:rsidP="00D47997">
      <w:pPr>
        <w:ind w:firstLine="708"/>
        <w:rPr>
          <w:rFonts w:ascii="Tahoma" w:hAnsi="Tahoma" w:cs="Tahoma"/>
          <w:b/>
          <w:shadow/>
          <w:sz w:val="20"/>
          <w:szCs w:val="20"/>
          <w:lang w:val="pt-BR"/>
        </w:rPr>
      </w:pPr>
    </w:p>
    <w:p w:rsidR="00D47997" w:rsidRPr="00F07A7F" w:rsidRDefault="00D47997" w:rsidP="00D47997">
      <w:pPr>
        <w:ind w:firstLine="708"/>
        <w:rPr>
          <w:rFonts w:ascii="Tahoma" w:hAnsi="Tahoma" w:cs="Tahoma"/>
          <w:b/>
          <w:shadow/>
          <w:sz w:val="20"/>
          <w:szCs w:val="20"/>
          <w:lang w:val="pt-BR"/>
        </w:rPr>
      </w:pPr>
      <w:r w:rsidRPr="00F07A7F">
        <w:rPr>
          <w:rFonts w:ascii="Tahoma" w:hAnsi="Tahoma" w:cs="Tahoma"/>
          <w:b/>
          <w:shadow/>
          <w:sz w:val="20"/>
          <w:szCs w:val="20"/>
          <w:lang w:val="pt-BR"/>
        </w:rPr>
        <w:t xml:space="preserve">VOCAL           </w:t>
      </w:r>
      <w:r w:rsidRPr="00F07A7F">
        <w:rPr>
          <w:rFonts w:ascii="Tahoma" w:hAnsi="Tahoma" w:cs="Tahoma"/>
          <w:b/>
          <w:shadow/>
          <w:sz w:val="20"/>
          <w:szCs w:val="20"/>
          <w:lang w:val="pt-BR"/>
        </w:rPr>
        <w:tab/>
      </w:r>
      <w:r w:rsidRPr="00F07A7F">
        <w:rPr>
          <w:rFonts w:ascii="Tahoma" w:hAnsi="Tahoma" w:cs="Tahoma"/>
          <w:b/>
          <w:shadow/>
          <w:sz w:val="20"/>
          <w:szCs w:val="20"/>
          <w:lang w:val="pt-BR"/>
        </w:rPr>
        <w:tab/>
        <w:t xml:space="preserve">                                                                 VOCAL</w:t>
      </w:r>
    </w:p>
    <w:p w:rsidR="00D47997" w:rsidRPr="00F07A7F" w:rsidRDefault="00D47997" w:rsidP="00D47997">
      <w:pPr>
        <w:rPr>
          <w:rFonts w:ascii="Tahoma" w:hAnsi="Tahoma" w:cs="Tahoma"/>
          <w:sz w:val="20"/>
          <w:szCs w:val="20"/>
          <w:lang w:val="pt-BR"/>
        </w:rPr>
      </w:pPr>
    </w:p>
    <w:p w:rsidR="00D47997" w:rsidRPr="00F07A7F" w:rsidRDefault="00D47997" w:rsidP="00D47997">
      <w:pPr>
        <w:rPr>
          <w:rFonts w:ascii="Tahoma" w:hAnsi="Tahoma" w:cs="Tahoma"/>
          <w:sz w:val="20"/>
          <w:szCs w:val="20"/>
          <w:lang w:val="pt-BR"/>
        </w:rPr>
      </w:pPr>
    </w:p>
    <w:p w:rsidR="00D47997" w:rsidRPr="00F07A7F" w:rsidRDefault="00D47997" w:rsidP="00D47997">
      <w:pPr>
        <w:jc w:val="both"/>
        <w:rPr>
          <w:rFonts w:ascii="Tahoma" w:hAnsi="Tahoma" w:cs="Tahoma"/>
          <w:sz w:val="20"/>
          <w:szCs w:val="20"/>
          <w:lang w:val="pt-BR"/>
        </w:rPr>
      </w:pPr>
      <w:r w:rsidRPr="00F07A7F">
        <w:rPr>
          <w:rFonts w:ascii="Tahoma" w:hAnsi="Tahoma" w:cs="Tahoma"/>
          <w:sz w:val="20"/>
          <w:szCs w:val="20"/>
          <w:lang w:val="pt-BR"/>
        </w:rPr>
        <w:t>ss.</w:t>
      </w:r>
    </w:p>
    <w:p w:rsidR="00D47997" w:rsidRPr="00F07A7F" w:rsidRDefault="00D47997" w:rsidP="00D47997">
      <w:pPr>
        <w:pStyle w:val="Textoindependiente21"/>
        <w:tabs>
          <w:tab w:val="left" w:pos="5250"/>
        </w:tabs>
        <w:rPr>
          <w:rFonts w:cs="Tahoma"/>
          <w:sz w:val="20"/>
          <w:lang w:val="pt-BR"/>
        </w:rPr>
      </w:pPr>
      <w:r w:rsidRPr="00F07A7F">
        <w:rPr>
          <w:rFonts w:cs="Tahoma"/>
          <w:sz w:val="20"/>
          <w:lang w:val="pt-BR"/>
        </w:rPr>
        <w:t>Basulto Liewald.</w:t>
      </w:r>
    </w:p>
    <w:p w:rsidR="00D47997" w:rsidRPr="00F07A7F" w:rsidRDefault="00D47997" w:rsidP="00D47997">
      <w:pPr>
        <w:pStyle w:val="Textoindependiente21"/>
        <w:tabs>
          <w:tab w:val="left" w:pos="5250"/>
        </w:tabs>
        <w:rPr>
          <w:rFonts w:cs="Tahoma"/>
          <w:sz w:val="20"/>
          <w:lang w:val="pt-BR"/>
        </w:rPr>
      </w:pPr>
      <w:r w:rsidRPr="00F07A7F">
        <w:rPr>
          <w:rFonts w:cs="Tahoma"/>
          <w:sz w:val="20"/>
          <w:lang w:val="en-US"/>
        </w:rPr>
        <w:t>Ramírez Maynetto.</w:t>
      </w:r>
    </w:p>
    <w:p w:rsidR="001D5C36" w:rsidRPr="00F07A7F" w:rsidRDefault="00D47997" w:rsidP="00F07A7F">
      <w:pPr>
        <w:pStyle w:val="Textoindependiente21"/>
        <w:rPr>
          <w:rFonts w:cs="Tahoma"/>
          <w:sz w:val="20"/>
        </w:rPr>
      </w:pPr>
      <w:r w:rsidRPr="00F07A7F">
        <w:rPr>
          <w:rFonts w:cs="Tahoma"/>
          <w:sz w:val="20"/>
        </w:rPr>
        <w:t>Fonseca Oliveira.</w:t>
      </w:r>
    </w:p>
    <w:sectPr w:rsidR="001D5C36" w:rsidRPr="00F07A7F" w:rsidSect="00B96798">
      <w:headerReference w:type="default" r:id="rId7"/>
      <w:footerReference w:type="default" r:id="rId8"/>
      <w:pgSz w:w="11906" w:h="16838"/>
      <w:pgMar w:top="3402" w:right="1701"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4CCA" w:rsidRDefault="00C04CCA" w:rsidP="00D47997">
      <w:r>
        <w:separator/>
      </w:r>
    </w:p>
  </w:endnote>
  <w:endnote w:type="continuationSeparator" w:id="1">
    <w:p w:rsidR="00C04CCA" w:rsidRDefault="00C04CCA" w:rsidP="00D479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197A71">
            <w:pPr>
              <w:pStyle w:val="Piedepgina"/>
              <w:jc w:val="center"/>
            </w:pPr>
            <w:r>
              <w:t xml:space="preserve">Página </w:t>
            </w:r>
            <w:r w:rsidR="0009067C">
              <w:rPr>
                <w:b/>
              </w:rPr>
              <w:fldChar w:fldCharType="begin"/>
            </w:r>
            <w:r>
              <w:rPr>
                <w:b/>
              </w:rPr>
              <w:instrText>PAGE</w:instrText>
            </w:r>
            <w:r w:rsidR="0009067C">
              <w:rPr>
                <w:b/>
              </w:rPr>
              <w:fldChar w:fldCharType="separate"/>
            </w:r>
            <w:r w:rsidR="009F2ECA">
              <w:rPr>
                <w:b/>
                <w:noProof/>
              </w:rPr>
              <w:t>1</w:t>
            </w:r>
            <w:r w:rsidR="0009067C">
              <w:rPr>
                <w:b/>
              </w:rPr>
              <w:fldChar w:fldCharType="end"/>
            </w:r>
            <w:r>
              <w:t xml:space="preserve"> de </w:t>
            </w:r>
            <w:r w:rsidR="0009067C">
              <w:rPr>
                <w:b/>
              </w:rPr>
              <w:fldChar w:fldCharType="begin"/>
            </w:r>
            <w:r>
              <w:rPr>
                <w:b/>
              </w:rPr>
              <w:instrText>NUMPAGES</w:instrText>
            </w:r>
            <w:r w:rsidR="0009067C">
              <w:rPr>
                <w:b/>
              </w:rPr>
              <w:fldChar w:fldCharType="separate"/>
            </w:r>
            <w:r w:rsidR="009F2ECA">
              <w:rPr>
                <w:b/>
                <w:noProof/>
              </w:rPr>
              <w:t>7</w:t>
            </w:r>
            <w:r w:rsidR="0009067C">
              <w:rPr>
                <w:b/>
              </w:rPr>
              <w:fldChar w:fldCharType="end"/>
            </w:r>
          </w:p>
        </w:sdtContent>
      </w:sdt>
    </w:sdtContent>
  </w:sdt>
  <w:p w:rsidR="0035353E" w:rsidRDefault="00C04CCA">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4CCA" w:rsidRDefault="00C04CCA" w:rsidP="00D47997">
      <w:r>
        <w:separator/>
      </w:r>
    </w:p>
  </w:footnote>
  <w:footnote w:type="continuationSeparator" w:id="1">
    <w:p w:rsidR="00C04CCA" w:rsidRDefault="00C04CCA" w:rsidP="00D47997">
      <w:r>
        <w:continuationSeparator/>
      </w:r>
    </w:p>
  </w:footnote>
  <w:footnote w:id="2">
    <w:p w:rsidR="004F26BC" w:rsidRPr="00134F1F" w:rsidRDefault="004F26BC" w:rsidP="004F26BC">
      <w:pPr>
        <w:pStyle w:val="Textonotapie"/>
        <w:jc w:val="both"/>
      </w:pPr>
      <w:r w:rsidRPr="00134F1F">
        <w:rPr>
          <w:rStyle w:val="Refdenotaalpie"/>
        </w:rPr>
        <w:footnoteRef/>
      </w:r>
      <w:r w:rsidRPr="00134F1F">
        <w:t xml:space="preserve"> La anotada presunción legal se sustenta en el </w:t>
      </w:r>
      <w:r w:rsidRPr="00134F1F">
        <w:rPr>
          <w:lang w:val="es-PE"/>
        </w:rPr>
        <w:t>artículo 1329</w:t>
      </w:r>
      <w:r>
        <w:rPr>
          <w:lang w:val="es-PE"/>
        </w:rPr>
        <w:t>º</w:t>
      </w:r>
      <w:r w:rsidRPr="00134F1F">
        <w:rPr>
          <w:lang w:val="es-PE"/>
        </w:rPr>
        <w:t xml:space="preserve"> del Código Civil, el cual establece que “se presume que la inejecución de la obligación, o su cumplimiento parcial, tardío o defectuoso, obedece a culpa leve del deudor”, artículo aplicable al presente caso de conformidad con el </w:t>
      </w:r>
      <w:r w:rsidRPr="00134F1F">
        <w:t>artículo IX, del Título Preliminar del mismo cuerpo normativo: “Las disposicio</w:t>
      </w:r>
      <w:r>
        <w:t xml:space="preserve">nes del Código Civil se aplican </w:t>
      </w:r>
      <w:r w:rsidRPr="00134F1F">
        <w:t>supletoriamente a las relaciones y situaciones jurídicas reguladas por otras leyes, siempre que no sean incompatibles con su naturaleza”.</w:t>
      </w:r>
    </w:p>
  </w:footnote>
  <w:footnote w:id="3">
    <w:p w:rsidR="004F26BC" w:rsidRPr="00134F1F" w:rsidRDefault="004F26BC" w:rsidP="004F26BC">
      <w:pPr>
        <w:pStyle w:val="Textonotapie"/>
      </w:pPr>
      <w:r w:rsidRPr="00134F1F">
        <w:rPr>
          <w:rStyle w:val="Refdenotaalpie"/>
        </w:rPr>
        <w:footnoteRef/>
      </w:r>
      <w:r w:rsidRPr="00134F1F">
        <w:t xml:space="preserve"> Documento que obra a fojas </w:t>
      </w:r>
      <w:r>
        <w:t>076</w:t>
      </w:r>
      <w:r w:rsidRPr="00134F1F">
        <w:t xml:space="preserve"> del expediente.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2ECA" w:rsidRDefault="009F2ECA" w:rsidP="009F2ECA">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9F2ECA" w:rsidRDefault="009F2ECA" w:rsidP="009F2ECA">
    <w:pPr>
      <w:pStyle w:val="Encabezado"/>
      <w:rPr>
        <w:noProof/>
      </w:rPr>
    </w:pPr>
  </w:p>
  <w:p w:rsidR="009F2ECA" w:rsidRDefault="009F2ECA" w:rsidP="009F2ECA">
    <w:pPr>
      <w:pStyle w:val="Encabezado"/>
      <w:rPr>
        <w:noProof/>
      </w:rPr>
    </w:pPr>
  </w:p>
  <w:p w:rsidR="009F2ECA" w:rsidRDefault="009F2ECA" w:rsidP="009F2ECA">
    <w:pPr>
      <w:pStyle w:val="Encabezado"/>
      <w:rPr>
        <w:noProof/>
      </w:rPr>
    </w:pPr>
  </w:p>
  <w:p w:rsidR="009F2ECA" w:rsidRDefault="009F2ECA" w:rsidP="009F2ECA">
    <w:pPr>
      <w:pStyle w:val="Encabezado"/>
      <w:jc w:val="center"/>
    </w:pPr>
    <w:r>
      <w:rPr>
        <w:rFonts w:ascii="Monotype Corsiva" w:hAnsi="Monotype Corsiva"/>
        <w:b/>
        <w:sz w:val="44"/>
        <w:szCs w:val="44"/>
      </w:rPr>
      <w:t xml:space="preserve">Resolución Nº   </w:t>
    </w:r>
    <w:r>
      <w:rPr>
        <w:rFonts w:ascii="Tahoma" w:hAnsi="Tahoma" w:cs="Tahoma"/>
        <w:b/>
        <w:sz w:val="44"/>
        <w:szCs w:val="44"/>
      </w:rPr>
      <w:t>208-2011-TC-S1</w:t>
    </w:r>
  </w:p>
  <w:p w:rsidR="009F2ECA" w:rsidRDefault="009F2ECA">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6453D"/>
    <w:multiLevelType w:val="hybridMultilevel"/>
    <w:tmpl w:val="3F168A50"/>
    <w:lvl w:ilvl="0" w:tplc="92461B3C">
      <w:start w:val="1"/>
      <w:numFmt w:val="decimal"/>
      <w:lvlText w:val="%1."/>
      <w:lvlJc w:val="left"/>
      <w:pPr>
        <w:ind w:left="1120" w:hanging="360"/>
      </w:pPr>
      <w:rPr>
        <w:b/>
      </w:rPr>
    </w:lvl>
    <w:lvl w:ilvl="1" w:tplc="0C0A0019" w:tentative="1">
      <w:start w:val="1"/>
      <w:numFmt w:val="lowerLetter"/>
      <w:lvlText w:val="%2."/>
      <w:lvlJc w:val="left"/>
      <w:pPr>
        <w:ind w:left="1840" w:hanging="360"/>
      </w:pPr>
    </w:lvl>
    <w:lvl w:ilvl="2" w:tplc="0C0A001B" w:tentative="1">
      <w:start w:val="1"/>
      <w:numFmt w:val="lowerRoman"/>
      <w:lvlText w:val="%3."/>
      <w:lvlJc w:val="right"/>
      <w:pPr>
        <w:ind w:left="2560" w:hanging="180"/>
      </w:pPr>
    </w:lvl>
    <w:lvl w:ilvl="3" w:tplc="0C0A000F" w:tentative="1">
      <w:start w:val="1"/>
      <w:numFmt w:val="decimal"/>
      <w:lvlText w:val="%4."/>
      <w:lvlJc w:val="left"/>
      <w:pPr>
        <w:ind w:left="3280" w:hanging="360"/>
      </w:pPr>
    </w:lvl>
    <w:lvl w:ilvl="4" w:tplc="0C0A0019" w:tentative="1">
      <w:start w:val="1"/>
      <w:numFmt w:val="lowerLetter"/>
      <w:lvlText w:val="%5."/>
      <w:lvlJc w:val="left"/>
      <w:pPr>
        <w:ind w:left="4000" w:hanging="360"/>
      </w:pPr>
    </w:lvl>
    <w:lvl w:ilvl="5" w:tplc="0C0A001B" w:tentative="1">
      <w:start w:val="1"/>
      <w:numFmt w:val="lowerRoman"/>
      <w:lvlText w:val="%6."/>
      <w:lvlJc w:val="right"/>
      <w:pPr>
        <w:ind w:left="4720" w:hanging="180"/>
      </w:pPr>
    </w:lvl>
    <w:lvl w:ilvl="6" w:tplc="0C0A000F" w:tentative="1">
      <w:start w:val="1"/>
      <w:numFmt w:val="decimal"/>
      <w:lvlText w:val="%7."/>
      <w:lvlJc w:val="left"/>
      <w:pPr>
        <w:ind w:left="5440" w:hanging="360"/>
      </w:pPr>
    </w:lvl>
    <w:lvl w:ilvl="7" w:tplc="0C0A0019" w:tentative="1">
      <w:start w:val="1"/>
      <w:numFmt w:val="lowerLetter"/>
      <w:lvlText w:val="%8."/>
      <w:lvlJc w:val="left"/>
      <w:pPr>
        <w:ind w:left="6160" w:hanging="360"/>
      </w:pPr>
    </w:lvl>
    <w:lvl w:ilvl="8" w:tplc="0C0A001B" w:tentative="1">
      <w:start w:val="1"/>
      <w:numFmt w:val="lowerRoman"/>
      <w:lvlText w:val="%9."/>
      <w:lvlJc w:val="right"/>
      <w:pPr>
        <w:ind w:left="6880" w:hanging="180"/>
      </w:pPr>
    </w:lvl>
  </w:abstractNum>
  <w:abstractNum w:abstractNumId="1">
    <w:nsid w:val="2BA764BD"/>
    <w:multiLevelType w:val="hybridMultilevel"/>
    <w:tmpl w:val="CAD281A2"/>
    <w:lvl w:ilvl="0" w:tplc="2A5A3C76">
      <w:start w:val="1"/>
      <w:numFmt w:val="lowerRoman"/>
      <w:lvlText w:val="%1)"/>
      <w:lvlJc w:val="left"/>
      <w:pPr>
        <w:ind w:left="1060" w:hanging="720"/>
      </w:pPr>
      <w:rPr>
        <w:rFonts w:hint="default"/>
      </w:rPr>
    </w:lvl>
    <w:lvl w:ilvl="1" w:tplc="0C0A0019" w:tentative="1">
      <w:start w:val="1"/>
      <w:numFmt w:val="lowerLetter"/>
      <w:lvlText w:val="%2."/>
      <w:lvlJc w:val="left"/>
      <w:pPr>
        <w:ind w:left="1420" w:hanging="360"/>
      </w:pPr>
    </w:lvl>
    <w:lvl w:ilvl="2" w:tplc="0C0A001B" w:tentative="1">
      <w:start w:val="1"/>
      <w:numFmt w:val="lowerRoman"/>
      <w:lvlText w:val="%3."/>
      <w:lvlJc w:val="right"/>
      <w:pPr>
        <w:ind w:left="2140" w:hanging="180"/>
      </w:pPr>
    </w:lvl>
    <w:lvl w:ilvl="3" w:tplc="0C0A000F" w:tentative="1">
      <w:start w:val="1"/>
      <w:numFmt w:val="decimal"/>
      <w:lvlText w:val="%4."/>
      <w:lvlJc w:val="left"/>
      <w:pPr>
        <w:ind w:left="2860" w:hanging="360"/>
      </w:pPr>
    </w:lvl>
    <w:lvl w:ilvl="4" w:tplc="0C0A0019" w:tentative="1">
      <w:start w:val="1"/>
      <w:numFmt w:val="lowerLetter"/>
      <w:lvlText w:val="%5."/>
      <w:lvlJc w:val="left"/>
      <w:pPr>
        <w:ind w:left="3580" w:hanging="360"/>
      </w:pPr>
    </w:lvl>
    <w:lvl w:ilvl="5" w:tplc="0C0A001B" w:tentative="1">
      <w:start w:val="1"/>
      <w:numFmt w:val="lowerRoman"/>
      <w:lvlText w:val="%6."/>
      <w:lvlJc w:val="right"/>
      <w:pPr>
        <w:ind w:left="4300" w:hanging="180"/>
      </w:pPr>
    </w:lvl>
    <w:lvl w:ilvl="6" w:tplc="0C0A000F" w:tentative="1">
      <w:start w:val="1"/>
      <w:numFmt w:val="decimal"/>
      <w:lvlText w:val="%7."/>
      <w:lvlJc w:val="left"/>
      <w:pPr>
        <w:ind w:left="5020" w:hanging="360"/>
      </w:pPr>
    </w:lvl>
    <w:lvl w:ilvl="7" w:tplc="0C0A0019" w:tentative="1">
      <w:start w:val="1"/>
      <w:numFmt w:val="lowerLetter"/>
      <w:lvlText w:val="%8."/>
      <w:lvlJc w:val="left"/>
      <w:pPr>
        <w:ind w:left="5740" w:hanging="360"/>
      </w:pPr>
    </w:lvl>
    <w:lvl w:ilvl="8" w:tplc="0C0A001B" w:tentative="1">
      <w:start w:val="1"/>
      <w:numFmt w:val="lowerRoman"/>
      <w:lvlText w:val="%9."/>
      <w:lvlJc w:val="right"/>
      <w:pPr>
        <w:ind w:left="6460" w:hanging="180"/>
      </w:pPr>
    </w:lvl>
  </w:abstractNum>
  <w:abstractNum w:abstractNumId="2">
    <w:nsid w:val="33D536D3"/>
    <w:multiLevelType w:val="hybridMultilevel"/>
    <w:tmpl w:val="32AA2AAC"/>
    <w:lvl w:ilvl="0" w:tplc="1BD07C04">
      <w:start w:val="1"/>
      <w:numFmt w:val="decimal"/>
      <w:lvlText w:val="%1."/>
      <w:lvlJc w:val="left"/>
      <w:pPr>
        <w:ind w:left="645" w:hanging="360"/>
      </w:pPr>
      <w:rPr>
        <w:rFonts w:hint="default"/>
      </w:rPr>
    </w:lvl>
    <w:lvl w:ilvl="1" w:tplc="0C0A0019" w:tentative="1">
      <w:start w:val="1"/>
      <w:numFmt w:val="lowerLetter"/>
      <w:lvlText w:val="%2."/>
      <w:lvlJc w:val="left"/>
      <w:pPr>
        <w:ind w:left="1365" w:hanging="360"/>
      </w:pPr>
    </w:lvl>
    <w:lvl w:ilvl="2" w:tplc="0C0A001B" w:tentative="1">
      <w:start w:val="1"/>
      <w:numFmt w:val="lowerRoman"/>
      <w:lvlText w:val="%3."/>
      <w:lvlJc w:val="right"/>
      <w:pPr>
        <w:ind w:left="2085" w:hanging="180"/>
      </w:pPr>
    </w:lvl>
    <w:lvl w:ilvl="3" w:tplc="0C0A000F" w:tentative="1">
      <w:start w:val="1"/>
      <w:numFmt w:val="decimal"/>
      <w:lvlText w:val="%4."/>
      <w:lvlJc w:val="left"/>
      <w:pPr>
        <w:ind w:left="2805" w:hanging="360"/>
      </w:pPr>
    </w:lvl>
    <w:lvl w:ilvl="4" w:tplc="0C0A0019" w:tentative="1">
      <w:start w:val="1"/>
      <w:numFmt w:val="lowerLetter"/>
      <w:lvlText w:val="%5."/>
      <w:lvlJc w:val="left"/>
      <w:pPr>
        <w:ind w:left="3525" w:hanging="360"/>
      </w:pPr>
    </w:lvl>
    <w:lvl w:ilvl="5" w:tplc="0C0A001B" w:tentative="1">
      <w:start w:val="1"/>
      <w:numFmt w:val="lowerRoman"/>
      <w:lvlText w:val="%6."/>
      <w:lvlJc w:val="right"/>
      <w:pPr>
        <w:ind w:left="4245" w:hanging="180"/>
      </w:pPr>
    </w:lvl>
    <w:lvl w:ilvl="6" w:tplc="0C0A000F" w:tentative="1">
      <w:start w:val="1"/>
      <w:numFmt w:val="decimal"/>
      <w:lvlText w:val="%7."/>
      <w:lvlJc w:val="left"/>
      <w:pPr>
        <w:ind w:left="4965" w:hanging="360"/>
      </w:pPr>
    </w:lvl>
    <w:lvl w:ilvl="7" w:tplc="0C0A0019" w:tentative="1">
      <w:start w:val="1"/>
      <w:numFmt w:val="lowerLetter"/>
      <w:lvlText w:val="%8."/>
      <w:lvlJc w:val="left"/>
      <w:pPr>
        <w:ind w:left="5685" w:hanging="360"/>
      </w:pPr>
    </w:lvl>
    <w:lvl w:ilvl="8" w:tplc="0C0A001B" w:tentative="1">
      <w:start w:val="1"/>
      <w:numFmt w:val="lowerRoman"/>
      <w:lvlText w:val="%9."/>
      <w:lvlJc w:val="right"/>
      <w:pPr>
        <w:ind w:left="6405" w:hanging="180"/>
      </w:pPr>
    </w:lvl>
  </w:abstractNum>
  <w:abstractNum w:abstractNumId="3">
    <w:nsid w:val="373701B0"/>
    <w:multiLevelType w:val="hybridMultilevel"/>
    <w:tmpl w:val="7C207464"/>
    <w:lvl w:ilvl="0" w:tplc="11E629EC">
      <w:start w:val="1"/>
      <w:numFmt w:val="decimal"/>
      <w:lvlText w:val="%1."/>
      <w:lvlJc w:val="left"/>
      <w:pPr>
        <w:tabs>
          <w:tab w:val="num" w:pos="340"/>
        </w:tabs>
        <w:ind w:left="340" w:hanging="340"/>
      </w:pPr>
      <w:rPr>
        <w:rFonts w:ascii="Tahoma" w:hAnsi="Tahoma" w:cs="Times New Roman" w:hint="default"/>
        <w:b/>
        <w:i w:val="0"/>
        <w:sz w:val="20"/>
        <w:szCs w:val="20"/>
      </w:rPr>
    </w:lvl>
    <w:lvl w:ilvl="1" w:tplc="BEDC8DE4">
      <w:start w:val="1"/>
      <w:numFmt w:val="lowerLetter"/>
      <w:lvlText w:val="%2."/>
      <w:lvlJc w:val="left"/>
      <w:pPr>
        <w:tabs>
          <w:tab w:val="num" w:pos="1440"/>
        </w:tabs>
        <w:ind w:left="1440" w:hanging="360"/>
      </w:pPr>
      <w:rPr>
        <w:rFonts w:cs="Times New Roman" w:hint="default"/>
        <w:b/>
      </w:rPr>
    </w:lvl>
    <w:lvl w:ilvl="2" w:tplc="0C0A001B" w:tentative="1">
      <w:start w:val="1"/>
      <w:numFmt w:val="lowerRoman"/>
      <w:lvlText w:val="%3."/>
      <w:lvlJc w:val="right"/>
      <w:pPr>
        <w:tabs>
          <w:tab w:val="num" w:pos="2160"/>
        </w:tabs>
        <w:ind w:left="2160" w:hanging="180"/>
      </w:pPr>
      <w:rPr>
        <w:rFonts w:cs="Times New Roman"/>
      </w:rPr>
    </w:lvl>
    <w:lvl w:ilvl="3" w:tplc="0C0A001B">
      <w:start w:val="1"/>
      <w:numFmt w:val="lowerRoman"/>
      <w:lvlText w:val="%4."/>
      <w:lvlJc w:val="right"/>
      <w:pPr>
        <w:tabs>
          <w:tab w:val="num" w:pos="2880"/>
        </w:tabs>
        <w:ind w:left="2880" w:hanging="360"/>
      </w:pPr>
      <w:rPr>
        <w:rFonts w:cs="Times New Roman" w:hint="default"/>
        <w:b/>
        <w:i w:val="0"/>
        <w:sz w:val="20"/>
        <w:szCs w:val="20"/>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4">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528F7119"/>
    <w:multiLevelType w:val="hybridMultilevel"/>
    <w:tmpl w:val="0180EAA4"/>
    <w:lvl w:ilvl="0" w:tplc="6AA47BFC">
      <w:start w:val="1"/>
      <w:numFmt w:val="lowerRoman"/>
      <w:lvlText w:val="%1)"/>
      <w:lvlJc w:val="left"/>
      <w:pPr>
        <w:ind w:left="1287" w:hanging="72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6">
    <w:nsid w:val="53966D03"/>
    <w:multiLevelType w:val="hybridMultilevel"/>
    <w:tmpl w:val="6CB4BA48"/>
    <w:lvl w:ilvl="0" w:tplc="D95AD4BE">
      <w:start w:val="1"/>
      <w:numFmt w:val="upperRoman"/>
      <w:lvlText w:val="%1."/>
      <w:lvlJc w:val="left"/>
      <w:pPr>
        <w:ind w:left="1080" w:hanging="72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7">
    <w:nsid w:val="674E6DDC"/>
    <w:multiLevelType w:val="hybridMultilevel"/>
    <w:tmpl w:val="A01257EC"/>
    <w:lvl w:ilvl="0" w:tplc="4BF6AD28">
      <w:start w:val="1"/>
      <w:numFmt w:val="decimal"/>
      <w:lvlText w:val="%1."/>
      <w:lvlJc w:val="left"/>
      <w:pPr>
        <w:ind w:left="900" w:hanging="360"/>
      </w:pPr>
      <w:rPr>
        <w:rFonts w:hint="default"/>
        <w:b/>
        <w:i w:val="0"/>
      </w:rPr>
    </w:lvl>
    <w:lvl w:ilvl="1" w:tplc="0C0A0019" w:tentative="1">
      <w:start w:val="1"/>
      <w:numFmt w:val="lowerLetter"/>
      <w:lvlText w:val="%2."/>
      <w:lvlJc w:val="left"/>
      <w:pPr>
        <w:ind w:left="1620" w:hanging="360"/>
      </w:pPr>
    </w:lvl>
    <w:lvl w:ilvl="2" w:tplc="0C0A001B" w:tentative="1">
      <w:start w:val="1"/>
      <w:numFmt w:val="lowerRoman"/>
      <w:lvlText w:val="%3."/>
      <w:lvlJc w:val="right"/>
      <w:pPr>
        <w:ind w:left="2340" w:hanging="180"/>
      </w:pPr>
    </w:lvl>
    <w:lvl w:ilvl="3" w:tplc="0C0A000F" w:tentative="1">
      <w:start w:val="1"/>
      <w:numFmt w:val="decimal"/>
      <w:lvlText w:val="%4."/>
      <w:lvlJc w:val="left"/>
      <w:pPr>
        <w:ind w:left="3060" w:hanging="360"/>
      </w:pPr>
    </w:lvl>
    <w:lvl w:ilvl="4" w:tplc="0C0A0019" w:tentative="1">
      <w:start w:val="1"/>
      <w:numFmt w:val="lowerLetter"/>
      <w:lvlText w:val="%5."/>
      <w:lvlJc w:val="left"/>
      <w:pPr>
        <w:ind w:left="3780" w:hanging="360"/>
      </w:pPr>
    </w:lvl>
    <w:lvl w:ilvl="5" w:tplc="0C0A001B" w:tentative="1">
      <w:start w:val="1"/>
      <w:numFmt w:val="lowerRoman"/>
      <w:lvlText w:val="%6."/>
      <w:lvlJc w:val="right"/>
      <w:pPr>
        <w:ind w:left="4500" w:hanging="180"/>
      </w:pPr>
    </w:lvl>
    <w:lvl w:ilvl="6" w:tplc="0C0A000F" w:tentative="1">
      <w:start w:val="1"/>
      <w:numFmt w:val="decimal"/>
      <w:lvlText w:val="%7."/>
      <w:lvlJc w:val="left"/>
      <w:pPr>
        <w:ind w:left="5220" w:hanging="360"/>
      </w:pPr>
    </w:lvl>
    <w:lvl w:ilvl="7" w:tplc="0C0A0019" w:tentative="1">
      <w:start w:val="1"/>
      <w:numFmt w:val="lowerLetter"/>
      <w:lvlText w:val="%8."/>
      <w:lvlJc w:val="left"/>
      <w:pPr>
        <w:ind w:left="5940" w:hanging="360"/>
      </w:pPr>
    </w:lvl>
    <w:lvl w:ilvl="8" w:tplc="0C0A001B" w:tentative="1">
      <w:start w:val="1"/>
      <w:numFmt w:val="lowerRoman"/>
      <w:lvlText w:val="%9."/>
      <w:lvlJc w:val="right"/>
      <w:pPr>
        <w:ind w:left="6660" w:hanging="180"/>
      </w:pPr>
    </w:lvl>
  </w:abstractNum>
  <w:abstractNum w:abstractNumId="8">
    <w:nsid w:val="71663834"/>
    <w:multiLevelType w:val="hybridMultilevel"/>
    <w:tmpl w:val="4428360C"/>
    <w:lvl w:ilvl="0" w:tplc="C32AC72C">
      <w:start w:val="1"/>
      <w:numFmt w:val="decimal"/>
      <w:lvlText w:val="%1."/>
      <w:lvlJc w:val="left"/>
      <w:pPr>
        <w:tabs>
          <w:tab w:val="num" w:pos="1164"/>
        </w:tabs>
        <w:ind w:left="1164" w:hanging="454"/>
      </w:pPr>
      <w:rPr>
        <w:rFonts w:ascii="Tahoma" w:hAnsi="Tahoma" w:cs="Tahoma" w:hint="default"/>
        <w:b/>
        <w:i w:val="0"/>
        <w:shadow/>
        <w:emboss w:val="0"/>
        <w:imprint w:val="0"/>
        <w:sz w:val="20"/>
        <w:szCs w:val="20"/>
        <w:u w:color="FFFFFF"/>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num w:numId="1">
    <w:abstractNumId w:val="4"/>
  </w:num>
  <w:num w:numId="2">
    <w:abstractNumId w:val="3"/>
  </w:num>
  <w:num w:numId="3">
    <w:abstractNumId w:val="6"/>
  </w:num>
  <w:num w:numId="4">
    <w:abstractNumId w:val="8"/>
  </w:num>
  <w:num w:numId="5">
    <w:abstractNumId w:val="2"/>
  </w:num>
  <w:num w:numId="6">
    <w:abstractNumId w:val="1"/>
  </w:num>
  <w:num w:numId="7">
    <w:abstractNumId w:val="5"/>
  </w:num>
  <w:num w:numId="8">
    <w:abstractNumId w:val="0"/>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D47997"/>
    <w:rsid w:val="0004428E"/>
    <w:rsid w:val="0009067C"/>
    <w:rsid w:val="00166C31"/>
    <w:rsid w:val="001902AD"/>
    <w:rsid w:val="00196655"/>
    <w:rsid w:val="00197A71"/>
    <w:rsid w:val="001F77EF"/>
    <w:rsid w:val="00436EBF"/>
    <w:rsid w:val="00496AD0"/>
    <w:rsid w:val="004F26BC"/>
    <w:rsid w:val="007E2EBF"/>
    <w:rsid w:val="009F2ECA"/>
    <w:rsid w:val="00AB17DD"/>
    <w:rsid w:val="00C04CCA"/>
    <w:rsid w:val="00D47997"/>
    <w:rsid w:val="00D63EAE"/>
    <w:rsid w:val="00EC17D9"/>
    <w:rsid w:val="00F07A7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997"/>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D47997"/>
    <w:pPr>
      <w:spacing w:after="120"/>
    </w:pPr>
    <w:rPr>
      <w:sz w:val="16"/>
      <w:szCs w:val="16"/>
      <w:lang w:val="es-PE"/>
    </w:rPr>
  </w:style>
  <w:style w:type="character" w:customStyle="1" w:styleId="Textoindependiente3Car">
    <w:name w:val="Texto independiente 3 Car"/>
    <w:basedOn w:val="Fuentedeprrafopredeter"/>
    <w:link w:val="Textoindependiente3"/>
    <w:rsid w:val="00D47997"/>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D47997"/>
    <w:pPr>
      <w:jc w:val="both"/>
    </w:pPr>
    <w:rPr>
      <w:rFonts w:ascii="Tahoma" w:hAnsi="Tahoma"/>
      <w:sz w:val="22"/>
      <w:szCs w:val="20"/>
    </w:rPr>
  </w:style>
  <w:style w:type="paragraph" w:styleId="Prrafodelista">
    <w:name w:val="List Paragraph"/>
    <w:basedOn w:val="Normal"/>
    <w:uiPriority w:val="34"/>
    <w:qFormat/>
    <w:rsid w:val="00D47997"/>
    <w:pPr>
      <w:widowControl w:val="0"/>
      <w:suppressAutoHyphens/>
      <w:ind w:left="708"/>
    </w:pPr>
    <w:rPr>
      <w:szCs w:val="20"/>
      <w:lang w:val="es-ES_tradnl"/>
    </w:rPr>
  </w:style>
  <w:style w:type="paragraph" w:styleId="Piedepgina">
    <w:name w:val="footer"/>
    <w:basedOn w:val="Normal"/>
    <w:link w:val="PiedepginaCar"/>
    <w:uiPriority w:val="99"/>
    <w:unhideWhenUsed/>
    <w:rsid w:val="00D47997"/>
    <w:pPr>
      <w:tabs>
        <w:tab w:val="center" w:pos="4252"/>
        <w:tab w:val="right" w:pos="8504"/>
      </w:tabs>
    </w:pPr>
  </w:style>
  <w:style w:type="character" w:customStyle="1" w:styleId="PiedepginaCar">
    <w:name w:val="Pie de página Car"/>
    <w:basedOn w:val="Fuentedeprrafopredeter"/>
    <w:link w:val="Piedepgina"/>
    <w:uiPriority w:val="99"/>
    <w:rsid w:val="00D47997"/>
    <w:rPr>
      <w:rFonts w:ascii="Times New Roman" w:eastAsia="Times New Roman" w:hAnsi="Times New Roman" w:cs="Times New Roman"/>
      <w:sz w:val="24"/>
      <w:szCs w:val="24"/>
      <w:lang w:eastAsia="es-ES"/>
    </w:rPr>
  </w:style>
  <w:style w:type="paragraph" w:styleId="Textonotapie">
    <w:name w:val="footnote text"/>
    <w:aliases w:val="Car,Car Car Car,Car4, Car,Car Car1,Texto nota pie1,Texto independiente1, Car4,Body Text,Texto independiente11, Car2 Car Car Car Car Car, Car2 Car, Car2, Car1 Car, Car2 Car1 Car, Car Car Car, Car1,Car1 Car Car,Car1 Car"/>
    <w:basedOn w:val="Normal"/>
    <w:link w:val="TextonotapieCar"/>
    <w:uiPriority w:val="99"/>
    <w:rsid w:val="00D47997"/>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2 Car Car Car Car Car Car, Car2 Car Car, Car2 Car1, Car1 Car Car, Car1 Car1"/>
    <w:basedOn w:val="Fuentedeprrafopredeter"/>
    <w:link w:val="Textonotapie"/>
    <w:uiPriority w:val="99"/>
    <w:rsid w:val="00D47997"/>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rsid w:val="00D47997"/>
    <w:rPr>
      <w:rFonts w:cs="Times New Roman"/>
      <w:vertAlign w:val="superscript"/>
    </w:rPr>
  </w:style>
  <w:style w:type="paragraph" w:styleId="Sangradetextonormal">
    <w:name w:val="Body Text Indent"/>
    <w:basedOn w:val="Normal"/>
    <w:link w:val="SangradetextonormalCar"/>
    <w:uiPriority w:val="99"/>
    <w:rsid w:val="00D47997"/>
    <w:pPr>
      <w:spacing w:after="120"/>
      <w:ind w:left="283"/>
    </w:pPr>
  </w:style>
  <w:style w:type="character" w:customStyle="1" w:styleId="SangradetextonormalCar">
    <w:name w:val="Sangría de texto normal Car"/>
    <w:basedOn w:val="Fuentedeprrafopredeter"/>
    <w:link w:val="Sangradetextonormal"/>
    <w:uiPriority w:val="99"/>
    <w:rsid w:val="00D47997"/>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rsid w:val="00D47997"/>
    <w:pPr>
      <w:spacing w:after="120"/>
    </w:pPr>
  </w:style>
  <w:style w:type="character" w:customStyle="1" w:styleId="TextoindependienteCar">
    <w:name w:val="Texto independiente Car"/>
    <w:basedOn w:val="Fuentedeprrafopredeter"/>
    <w:link w:val="Textoindependiente"/>
    <w:uiPriority w:val="99"/>
    <w:rsid w:val="00D47997"/>
    <w:rPr>
      <w:rFonts w:ascii="Times New Roman" w:eastAsia="Times New Roman" w:hAnsi="Times New Roman" w:cs="Times New Roman"/>
      <w:sz w:val="24"/>
      <w:szCs w:val="24"/>
      <w:lang w:eastAsia="es-ES"/>
    </w:rPr>
  </w:style>
  <w:style w:type="paragraph" w:customStyle="1" w:styleId="p1">
    <w:name w:val="p1"/>
    <w:basedOn w:val="Normal"/>
    <w:rsid w:val="004F26BC"/>
    <w:pPr>
      <w:widowControl w:val="0"/>
      <w:tabs>
        <w:tab w:val="left" w:pos="16640"/>
      </w:tabs>
      <w:suppressAutoHyphens/>
      <w:spacing w:line="240" w:lineRule="atLeast"/>
      <w:ind w:left="7600"/>
      <w:jc w:val="both"/>
    </w:pPr>
    <w:rPr>
      <w:rFonts w:ascii="Times" w:hAnsi="Times"/>
      <w:szCs w:val="20"/>
      <w:lang w:eastAsia="ar-SA"/>
    </w:rPr>
  </w:style>
  <w:style w:type="paragraph" w:styleId="Encabezado">
    <w:name w:val="header"/>
    <w:aliases w:val="maria,h"/>
    <w:basedOn w:val="Normal"/>
    <w:link w:val="EncabezadoCar"/>
    <w:uiPriority w:val="99"/>
    <w:semiHidden/>
    <w:unhideWhenUsed/>
    <w:rsid w:val="009F2ECA"/>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9F2ECA"/>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4729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7</Pages>
  <Words>3062</Words>
  <Characters>16847</Characters>
  <Application>Microsoft Office Word</Application>
  <DocSecurity>0</DocSecurity>
  <Lines>140</Lines>
  <Paragraphs>39</Paragraphs>
  <ScaleCrop>false</ScaleCrop>
  <Company/>
  <LinksUpToDate>false</LinksUpToDate>
  <CharactersWithSpaces>19870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mcervantes</dc:creator>
  <cp:keywords/>
  <dc:description/>
  <cp:lastModifiedBy>bcaceres</cp:lastModifiedBy>
  <cp:revision>10</cp:revision>
  <cp:lastPrinted>2011-02-09T20:11:00Z</cp:lastPrinted>
  <dcterms:created xsi:type="dcterms:W3CDTF">2011-02-02T20:34:00Z</dcterms:created>
  <dcterms:modified xsi:type="dcterms:W3CDTF">2011-03-07T16:28:00Z</dcterms:modified>
</cp:coreProperties>
</file>